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0857919"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w:t>
      </w:r>
      <w:r w:rsidR="001F18B5">
        <w:rPr>
          <w:rFonts w:ascii="Arial" w:hAnsi="Arial" w:cs="Arial"/>
          <w:b/>
          <w:bCs/>
          <w:snapToGrid w:val="0"/>
          <w:sz w:val="24"/>
          <w:lang w:val="en-GB"/>
        </w:rPr>
        <w:t>1-e</w:t>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00C64CB0">
        <w:rPr>
          <w:rFonts w:ascii="Arial" w:hAnsi="Arial" w:cs="Arial"/>
          <w:b/>
          <w:bCs/>
          <w:snapToGrid w:val="0"/>
          <w:sz w:val="24"/>
          <w:lang w:val="en-GB"/>
        </w:rPr>
        <w:tab/>
      </w:r>
      <w:r w:rsidRPr="00726C69">
        <w:rPr>
          <w:rFonts w:ascii="Arial" w:hAnsi="Arial" w:cs="Arial"/>
          <w:b/>
          <w:bCs/>
          <w:snapToGrid w:val="0"/>
          <w:sz w:val="24"/>
          <w:lang w:val="en-GB"/>
        </w:rPr>
        <w:t>R1-</w:t>
      </w:r>
      <w:r w:rsidR="000940DE" w:rsidRPr="00726C69">
        <w:rPr>
          <w:rFonts w:ascii="Arial" w:hAnsi="Arial" w:cs="Arial"/>
          <w:b/>
          <w:bCs/>
          <w:snapToGrid w:val="0"/>
          <w:sz w:val="24"/>
          <w:lang w:val="en-GB"/>
        </w:rPr>
        <w:t>200</w:t>
      </w:r>
      <w:r w:rsidR="000940DE">
        <w:rPr>
          <w:rFonts w:ascii="Arial" w:hAnsi="Arial" w:cs="Arial"/>
          <w:b/>
          <w:bCs/>
          <w:snapToGrid w:val="0"/>
          <w:sz w:val="24"/>
          <w:lang w:val="en-GB"/>
        </w:rPr>
        <w:t>4138</w:t>
      </w:r>
    </w:p>
    <w:p w14:paraId="66059885" w14:textId="7769A6CC" w:rsidR="00225102" w:rsidRPr="006A0944" w:rsidRDefault="00397D64"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1F18B5">
        <w:rPr>
          <w:rFonts w:ascii="Arial" w:hAnsi="Arial" w:cs="Arial"/>
          <w:b/>
          <w:bCs/>
          <w:snapToGrid w:val="0"/>
          <w:sz w:val="24"/>
          <w:lang w:val="en-GB"/>
        </w:rPr>
        <w:t>May</w:t>
      </w:r>
      <w:r>
        <w:rPr>
          <w:rFonts w:ascii="Arial" w:hAnsi="Arial" w:cs="Arial"/>
          <w:b/>
          <w:bCs/>
          <w:snapToGrid w:val="0"/>
          <w:sz w:val="24"/>
          <w:lang w:val="en-GB"/>
        </w:rPr>
        <w:t xml:space="preserve"> </w:t>
      </w:r>
      <w:r w:rsidR="001F18B5">
        <w:rPr>
          <w:rFonts w:ascii="Arial" w:hAnsi="Arial" w:cs="Arial"/>
          <w:b/>
          <w:bCs/>
          <w:snapToGrid w:val="0"/>
          <w:sz w:val="24"/>
          <w:lang w:val="en-GB"/>
        </w:rPr>
        <w:t>25</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6A0944" w:rsidRPr="000C097F">
        <w:rPr>
          <w:rFonts w:ascii="Arial" w:eastAsia="MS Mincho" w:hAnsi="Arial" w:cs="Arial"/>
          <w:b/>
          <w:bCs/>
          <w:sz w:val="24"/>
          <w:lang w:val="en-GB" w:eastAsia="ja-JP"/>
        </w:rPr>
        <w:t xml:space="preserve"> </w:t>
      </w:r>
      <w:r w:rsidR="00C64CB0" w:rsidRPr="000C097F">
        <w:rPr>
          <w:rFonts w:ascii="Arial" w:eastAsia="바탕체" w:hAnsi="Arial" w:cs="Arial"/>
          <w:b/>
          <w:bCs/>
          <w:sz w:val="24"/>
          <w:lang w:val="en-GB"/>
        </w:rPr>
        <w:t>June 5</w:t>
      </w:r>
      <w:r w:rsidR="00C64CB0" w:rsidRPr="000C097F">
        <w:rPr>
          <w:rFonts w:ascii="Arial" w:eastAsia="바탕체" w:hAnsi="Arial" w:cs="Arial"/>
          <w:b/>
          <w:bCs/>
          <w:sz w:val="24"/>
          <w:vertAlign w:val="superscript"/>
          <w:lang w:val="en-GB"/>
        </w:rPr>
        <w:t>th</w:t>
      </w:r>
      <w:r w:rsidR="006A0944" w:rsidRPr="00C64CB0">
        <w:rPr>
          <w:rFonts w:ascii="Arial" w:eastAsia="MS Mincho" w:hAnsi="Arial" w:cs="Arial"/>
          <w:b/>
          <w:bCs/>
          <w:sz w:val="24"/>
          <w:lang w:val="en-GB" w:eastAsia="ja-JP"/>
        </w:rPr>
        <w:t>,</w:t>
      </w:r>
      <w:r w:rsidR="006A0944" w:rsidRPr="00DF0708">
        <w:rPr>
          <w:rFonts w:ascii="Arial" w:eastAsia="MS Mincho" w:hAnsi="Arial" w:cs="Arial"/>
          <w:b/>
          <w:bCs/>
          <w:sz w:val="24"/>
          <w:lang w:val="en-GB" w:eastAsia="ja-JP"/>
        </w:rPr>
        <w:t xml:space="preserve"> 20</w:t>
      </w:r>
      <w:r>
        <w:rPr>
          <w:rFonts w:ascii="Arial" w:eastAsia="MS Mincho" w:hAnsi="Arial" w:cs="Arial"/>
          <w:b/>
          <w:bCs/>
          <w:sz w:val="24"/>
          <w:lang w:val="en-GB" w:eastAsia="ja-JP"/>
        </w:rPr>
        <w:t>20</w:t>
      </w:r>
    </w:p>
    <w:p w14:paraId="7FB91595" w14:textId="145254A6"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D5245A">
        <w:rPr>
          <w:rFonts w:ascii="Times New Roman" w:hAnsi="Times New Roman"/>
          <w:sz w:val="24"/>
          <w:szCs w:val="24"/>
        </w:rPr>
        <w:t>11</w:t>
      </w:r>
      <w:r w:rsidRPr="00103C41">
        <w:rPr>
          <w:rFonts w:ascii="Times New Roman" w:hAnsi="Times New Roman"/>
          <w:sz w:val="24"/>
          <w:szCs w:val="24"/>
        </w:rPr>
        <w:t>.</w:t>
      </w:r>
      <w:r w:rsidR="008D4074">
        <w:rPr>
          <w:rFonts w:ascii="Times New Roman" w:hAnsi="Times New Roman"/>
          <w:sz w:val="24"/>
          <w:szCs w:val="24"/>
        </w:rPr>
        <w:t>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90071DB"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iscussion on UE feature</w:t>
      </w:r>
      <w:r w:rsidR="0094328A">
        <w:rPr>
          <w:rFonts w:ascii="Times New Roman" w:hAnsi="Times New Roman"/>
          <w:sz w:val="24"/>
          <w:szCs w:val="24"/>
        </w:rPr>
        <w:t>s</w:t>
      </w:r>
      <w:r w:rsidR="00D5245A">
        <w:rPr>
          <w:rFonts w:ascii="Times New Roman" w:hAnsi="Times New Roman"/>
          <w:sz w:val="24"/>
          <w:szCs w:val="24"/>
        </w:rPr>
        <w:t xml:space="preserve"> for NR </w:t>
      </w:r>
      <w:r w:rsidR="008D4074">
        <w:rPr>
          <w:rFonts w:ascii="Times New Roman" w:hAnsi="Times New Roman" w:hint="eastAsia"/>
          <w:sz w:val="24"/>
          <w:szCs w:val="24"/>
        </w:rPr>
        <w:t>IAB</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1C0575EB" w14:textId="33E6C0FF" w:rsidR="000948B0" w:rsidRPr="000948B0" w:rsidRDefault="007476F1" w:rsidP="000948B0">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35CC1068"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w:t>
      </w:r>
      <w:r w:rsidR="009F6F0B">
        <w:rPr>
          <w:rFonts w:ascii="Times New Roman" w:hAnsi="Times New Roman"/>
        </w:rPr>
        <w:t xml:space="preserve"> for NR IAB</w:t>
      </w:r>
      <w:r>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4871008A" w14:textId="3E8E1E59" w:rsidR="00877FB6" w:rsidRPr="00877FB6" w:rsidRDefault="00877FB6" w:rsidP="00F17504">
      <w:pPr>
        <w:pStyle w:val="2"/>
      </w:pPr>
      <w:r w:rsidRPr="00877FB6">
        <w:t>Rel-16 feature list for NR IAB</w:t>
      </w:r>
    </w:p>
    <w:p w14:paraId="7F7E14F3" w14:textId="506486A3" w:rsidR="005B04D8" w:rsidRDefault="009F6F0B" w:rsidP="005B04D8">
      <w:pPr>
        <w:ind w:firstLineChars="193" w:firstLine="425"/>
        <w:jc w:val="both"/>
        <w:rPr>
          <w:rFonts w:ascii="Times New Roman" w:hAnsi="Times New Roman"/>
        </w:rPr>
      </w:pPr>
      <w:r>
        <w:rPr>
          <w:rFonts w:ascii="Times New Roman" w:hAnsi="Times New Roman"/>
        </w:rPr>
        <w:t>According to e-mail discussion thread [100b-e-NR-UEFeatures-IAB-05], which is summarized in [1], agreement was settled up in [2] with existence of bracket in the last column for the further discussion.</w:t>
      </w:r>
      <w:r w:rsidR="00FE733C">
        <w:rPr>
          <w:rFonts w:ascii="Times New Roman" w:hAnsi="Times New Roman"/>
        </w:rPr>
        <w:t xml:space="preserve"> Thus, w</w:t>
      </w:r>
      <w:r w:rsidR="005B04D8">
        <w:rPr>
          <w:rFonts w:ascii="Times New Roman" w:hAnsi="Times New Roman"/>
        </w:rPr>
        <w:t xml:space="preserve">e </w:t>
      </w:r>
      <w:r w:rsidR="00FE733C">
        <w:rPr>
          <w:rFonts w:ascii="Times New Roman" w:hAnsi="Times New Roman"/>
        </w:rPr>
        <w:t xml:space="preserve">provide </w:t>
      </w:r>
      <w:r w:rsidR="003C661D">
        <w:rPr>
          <w:rFonts w:ascii="Times New Roman" w:hAnsi="Times New Roman"/>
        </w:rPr>
        <w:t>following suggestions</w:t>
      </w:r>
      <w:r w:rsidR="00FE733C">
        <w:rPr>
          <w:rFonts w:ascii="Times New Roman" w:hAnsi="Times New Roman"/>
        </w:rPr>
        <w:t xml:space="preserve"> for this remaining issue.</w:t>
      </w:r>
    </w:p>
    <w:p w14:paraId="5A1F284B" w14:textId="01A9FF46" w:rsidR="0010503F" w:rsidRDefault="008F5234" w:rsidP="005B04D8">
      <w:pPr>
        <w:ind w:firstLineChars="193" w:firstLine="425"/>
        <w:jc w:val="both"/>
        <w:rPr>
          <w:rFonts w:ascii="Times New Roman" w:hAnsi="Times New Roman"/>
          <w:b/>
          <w:bCs/>
          <w:szCs w:val="24"/>
          <w:lang w:val="en-GB"/>
        </w:rPr>
      </w:pPr>
      <w:r>
        <w:rPr>
          <w:rFonts w:ascii="Times New Roman" w:hAnsi="Times New Roman"/>
          <w:b/>
          <w:bCs/>
          <w:szCs w:val="24"/>
          <w:lang w:val="en-GB"/>
        </w:rPr>
        <w:t xml:space="preserve">FG </w:t>
      </w:r>
      <w:r w:rsidR="0010503F">
        <w:rPr>
          <w:rFonts w:ascii="Times New Roman" w:hAnsi="Times New Roman" w:hint="eastAsia"/>
          <w:b/>
          <w:bCs/>
          <w:szCs w:val="24"/>
          <w:lang w:val="en-GB"/>
        </w:rPr>
        <w:t>20-2</w:t>
      </w:r>
    </w:p>
    <w:p w14:paraId="57F67608" w14:textId="56A41793" w:rsidR="0010503F" w:rsidRPr="0010503F" w:rsidRDefault="00251EBA" w:rsidP="005A3DE1">
      <w:pPr>
        <w:numPr>
          <w:ilvl w:val="2"/>
          <w:numId w:val="103"/>
        </w:numPr>
        <w:jc w:val="both"/>
        <w:rPr>
          <w:rFonts w:ascii="Times New Roman" w:hAnsi="Times New Roman"/>
          <w:szCs w:val="24"/>
          <w:lang w:val="en-GB"/>
        </w:rPr>
      </w:pPr>
      <w:r>
        <w:rPr>
          <w:rFonts w:ascii="Times New Roman" w:hAnsi="Times New Roman"/>
          <w:szCs w:val="24"/>
          <w:lang w:val="en-GB"/>
        </w:rPr>
        <w:t>E</w:t>
      </w:r>
      <w:r w:rsidR="0010503F" w:rsidRPr="0010503F">
        <w:rPr>
          <w:rFonts w:ascii="Times New Roman" w:hAnsi="Times New Roman"/>
          <w:szCs w:val="24"/>
          <w:lang w:val="en-GB"/>
        </w:rPr>
        <w:t>fficient IAB operation is promising only with flexibility on neighbo</w:t>
      </w:r>
      <w:r w:rsidR="0010503F">
        <w:rPr>
          <w:rFonts w:ascii="Times New Roman" w:hAnsi="Times New Roman"/>
          <w:szCs w:val="24"/>
          <w:lang w:val="en-GB"/>
        </w:rPr>
        <w:t>u</w:t>
      </w:r>
      <w:r w:rsidR="0010503F" w:rsidRPr="0010503F">
        <w:rPr>
          <w:rFonts w:ascii="Times New Roman" w:hAnsi="Times New Roman"/>
          <w:szCs w:val="24"/>
          <w:lang w:val="en-GB"/>
        </w:rPr>
        <w:t>ring cell search which is realized by various configuration of SMTC</w:t>
      </w:r>
      <w:r>
        <w:rPr>
          <w:rFonts w:ascii="Times New Roman" w:hAnsi="Times New Roman"/>
          <w:szCs w:val="24"/>
          <w:lang w:val="en-GB"/>
        </w:rPr>
        <w:t>s s</w:t>
      </w:r>
      <w:r w:rsidRPr="0010503F">
        <w:rPr>
          <w:rFonts w:ascii="Times New Roman" w:hAnsi="Times New Roman"/>
          <w:szCs w:val="24"/>
          <w:lang w:val="en-GB"/>
        </w:rPr>
        <w:t>ince SSB from neighbo</w:t>
      </w:r>
      <w:r>
        <w:rPr>
          <w:rFonts w:ascii="Times New Roman" w:hAnsi="Times New Roman"/>
          <w:szCs w:val="24"/>
          <w:lang w:val="en-GB"/>
        </w:rPr>
        <w:t>u</w:t>
      </w:r>
      <w:r w:rsidRPr="0010503F">
        <w:rPr>
          <w:rFonts w:ascii="Times New Roman" w:hAnsi="Times New Roman"/>
          <w:szCs w:val="24"/>
          <w:lang w:val="en-GB"/>
        </w:rPr>
        <w:t>ring cells are confined within the configured window and the cell size and/or shape of IAB node varies</w:t>
      </w:r>
      <w:r w:rsidR="0010503F" w:rsidRPr="0010503F">
        <w:rPr>
          <w:rFonts w:ascii="Times New Roman" w:hAnsi="Times New Roman"/>
          <w:szCs w:val="24"/>
          <w:lang w:val="en-GB"/>
        </w:rPr>
        <w:t xml:space="preserve">. </w:t>
      </w:r>
      <w:r w:rsidR="005A3DE1" w:rsidRPr="005A3DE1">
        <w:rPr>
          <w:rFonts w:ascii="Times New Roman" w:hAnsi="Times New Roman"/>
          <w:szCs w:val="24"/>
          <w:lang w:val="en-GB"/>
        </w:rPr>
        <w:t xml:space="preserve">Since DU and MT are operated in a TDMed manner in Rel-16, without FG 20-2, IAB node MT may not efficiently receive SSB from (neighbour) parent IAB node(s) when the IAB node DU transmits SSB to child node or </w:t>
      </w:r>
      <w:r w:rsidR="005A3DE1">
        <w:rPr>
          <w:rFonts w:ascii="Times New Roman" w:hAnsi="Times New Roman"/>
          <w:szCs w:val="24"/>
          <w:lang w:val="en-GB"/>
        </w:rPr>
        <w:t xml:space="preserve">access </w:t>
      </w:r>
      <w:r w:rsidR="005A3DE1" w:rsidRPr="005A3DE1">
        <w:rPr>
          <w:rFonts w:ascii="Times New Roman" w:hAnsi="Times New Roman"/>
          <w:szCs w:val="24"/>
          <w:lang w:val="en-GB"/>
        </w:rPr>
        <w:t xml:space="preserve">UE. </w:t>
      </w:r>
      <w:r w:rsidR="0010503F">
        <w:rPr>
          <w:rFonts w:ascii="Times New Roman" w:hAnsi="Times New Roman"/>
          <w:szCs w:val="24"/>
          <w:lang w:val="en-GB"/>
        </w:rPr>
        <w:t>Thus, s</w:t>
      </w:r>
      <w:r w:rsidR="0010503F" w:rsidRPr="0010503F">
        <w:rPr>
          <w:rFonts w:ascii="Times New Roman" w:hAnsi="Times New Roman"/>
          <w:szCs w:val="24"/>
          <w:lang w:val="en-GB"/>
        </w:rPr>
        <w:t xml:space="preserve">upporting up to 4 SMTCs for IAB node is desirable to be </w:t>
      </w:r>
      <w:r w:rsidR="00AA4FA0">
        <w:rPr>
          <w:rFonts w:ascii="Times New Roman" w:hAnsi="Times New Roman"/>
          <w:szCs w:val="24"/>
          <w:lang w:val="en-GB"/>
        </w:rPr>
        <w:t xml:space="preserve">a </w:t>
      </w:r>
      <w:r w:rsidR="0010503F" w:rsidRPr="0010503F">
        <w:rPr>
          <w:rFonts w:ascii="Times New Roman" w:hAnsi="Times New Roman"/>
          <w:szCs w:val="24"/>
          <w:lang w:val="en-GB"/>
        </w:rPr>
        <w:t>mandatory feature.</w:t>
      </w:r>
    </w:p>
    <w:p w14:paraId="2DFD5D4C" w14:textId="71B2DE65" w:rsidR="005B04D8" w:rsidRPr="005B04D8" w:rsidRDefault="008F5234" w:rsidP="005B04D8">
      <w:pPr>
        <w:ind w:firstLineChars="193" w:firstLine="425"/>
        <w:jc w:val="both"/>
        <w:rPr>
          <w:rFonts w:ascii="Times New Roman" w:hAnsi="Times New Roman"/>
          <w:b/>
          <w:szCs w:val="24"/>
          <w:lang w:val="en-GB"/>
        </w:rPr>
      </w:pPr>
      <w:r>
        <w:rPr>
          <w:rFonts w:ascii="Times New Roman" w:hAnsi="Times New Roman"/>
          <w:b/>
          <w:bCs/>
          <w:szCs w:val="24"/>
          <w:lang w:val="en-GB"/>
        </w:rPr>
        <w:t xml:space="preserve">FG </w:t>
      </w:r>
      <w:r w:rsidR="008D4074">
        <w:rPr>
          <w:rFonts w:ascii="Times New Roman" w:hAnsi="Times New Roman"/>
          <w:b/>
          <w:bCs/>
          <w:szCs w:val="24"/>
          <w:lang w:val="en-GB"/>
        </w:rPr>
        <w:t>20</w:t>
      </w:r>
      <w:r w:rsidR="005B04D8" w:rsidRPr="005B04D8">
        <w:rPr>
          <w:rFonts w:ascii="Times New Roman" w:hAnsi="Times New Roman"/>
          <w:b/>
          <w:bCs/>
          <w:szCs w:val="24"/>
          <w:lang w:val="en-GB"/>
        </w:rPr>
        <w:t>-</w:t>
      </w:r>
      <w:r w:rsidR="0010503F">
        <w:rPr>
          <w:rFonts w:ascii="Times New Roman" w:hAnsi="Times New Roman"/>
          <w:b/>
          <w:bCs/>
          <w:szCs w:val="24"/>
          <w:lang w:val="en-GB"/>
        </w:rPr>
        <w:t>3</w:t>
      </w:r>
    </w:p>
    <w:p w14:paraId="331D2B4D" w14:textId="3057920D" w:rsidR="00251EBA" w:rsidRPr="00F71FD5" w:rsidRDefault="00044587" w:rsidP="0001275E">
      <w:pPr>
        <w:pStyle w:val="a4"/>
        <w:numPr>
          <w:ilvl w:val="2"/>
          <w:numId w:val="103"/>
        </w:numPr>
        <w:rPr>
          <w:rFonts w:ascii="Times New Roman" w:hAnsi="Times New Roman"/>
          <w:szCs w:val="24"/>
          <w:lang w:val="en-GB"/>
        </w:rPr>
      </w:pPr>
      <w:r w:rsidRPr="00F71FD5">
        <w:rPr>
          <w:rFonts w:ascii="Times New Roman" w:hAnsi="Times New Roman"/>
          <w:szCs w:val="24"/>
          <w:lang w:val="en-GB"/>
        </w:rPr>
        <w:t>Considering uniqueness of backhaul link and fixed deployment,</w:t>
      </w:r>
      <w:r w:rsidR="00F71FD5" w:rsidRPr="00F71FD5">
        <w:rPr>
          <w:rFonts w:ascii="Times New Roman" w:hAnsi="Times New Roman"/>
          <w:szCs w:val="24"/>
          <w:lang w:val="en-GB"/>
        </w:rPr>
        <w:t xml:space="preserve"> less RACH</w:t>
      </w:r>
      <w:r w:rsidR="00251EBA" w:rsidRPr="00F71FD5">
        <w:rPr>
          <w:rFonts w:ascii="Times New Roman" w:hAnsi="Times New Roman"/>
          <w:szCs w:val="24"/>
          <w:lang w:val="en-GB"/>
        </w:rPr>
        <w:t xml:space="preserve"> resources </w:t>
      </w:r>
      <w:r w:rsidR="00F71FD5" w:rsidRPr="00F71FD5">
        <w:rPr>
          <w:rFonts w:ascii="Times New Roman" w:hAnsi="Times New Roman"/>
          <w:szCs w:val="24"/>
          <w:lang w:val="en-GB"/>
        </w:rPr>
        <w:t>may be</w:t>
      </w:r>
      <w:r w:rsidR="00251EBA" w:rsidRPr="00F71FD5">
        <w:rPr>
          <w:rFonts w:ascii="Times New Roman" w:hAnsi="Times New Roman"/>
          <w:szCs w:val="24"/>
          <w:lang w:val="en-GB"/>
        </w:rPr>
        <w:t xml:space="preserve"> needed </w:t>
      </w:r>
      <w:r w:rsidRPr="00F71FD5">
        <w:rPr>
          <w:rFonts w:ascii="Times New Roman" w:hAnsi="Times New Roman"/>
          <w:szCs w:val="24"/>
          <w:lang w:val="en-GB"/>
        </w:rPr>
        <w:t>for IAB node</w:t>
      </w:r>
      <w:r w:rsidR="00F71FD5" w:rsidRPr="00F71FD5">
        <w:rPr>
          <w:rFonts w:ascii="Times New Roman" w:hAnsi="Times New Roman"/>
          <w:szCs w:val="24"/>
          <w:lang w:val="en-GB"/>
        </w:rPr>
        <w:t xml:space="preserve"> compared to access UE. In this sense, extension of RACH occasions and periodicities for backhaul RACH resources may be useful, but IAB-MT can also rely on the existing Rel-15 RACH</w:t>
      </w:r>
      <w:r w:rsidR="00BD3845">
        <w:rPr>
          <w:rFonts w:ascii="Times New Roman" w:hAnsi="Times New Roman"/>
          <w:szCs w:val="24"/>
          <w:lang w:val="en-GB"/>
        </w:rPr>
        <w:t xml:space="preserve"> </w:t>
      </w:r>
      <w:r w:rsidR="00BD3845" w:rsidRPr="00F71FD5">
        <w:rPr>
          <w:rFonts w:ascii="Times New Roman" w:hAnsi="Times New Roman"/>
          <w:szCs w:val="24"/>
          <w:lang w:val="en-GB"/>
        </w:rPr>
        <w:t>configurations</w:t>
      </w:r>
      <w:r w:rsidR="00BD3845">
        <w:rPr>
          <w:rFonts w:ascii="Times New Roman" w:hAnsi="Times New Roman"/>
          <w:szCs w:val="24"/>
          <w:lang w:val="en-GB"/>
        </w:rPr>
        <w:t xml:space="preserve"> for access UE</w:t>
      </w:r>
      <w:r w:rsidR="00F71FD5" w:rsidRPr="00F71FD5">
        <w:rPr>
          <w:rFonts w:ascii="Times New Roman" w:hAnsi="Times New Roman"/>
          <w:szCs w:val="24"/>
          <w:lang w:val="en-GB"/>
        </w:rPr>
        <w:t>. Thus, we think this FG can be optional.</w:t>
      </w:r>
    </w:p>
    <w:p w14:paraId="3987660A" w14:textId="760AAAD8" w:rsidR="00153590" w:rsidRPr="00153590" w:rsidRDefault="008F5234" w:rsidP="00153590">
      <w:pPr>
        <w:ind w:firstLineChars="193" w:firstLine="425"/>
        <w:jc w:val="both"/>
        <w:rPr>
          <w:rFonts w:ascii="Times New Roman" w:hAnsi="Times New Roman"/>
          <w:b/>
          <w:szCs w:val="24"/>
          <w:lang w:val="en-GB"/>
        </w:rPr>
      </w:pPr>
      <w:r>
        <w:rPr>
          <w:rFonts w:ascii="Times New Roman" w:hAnsi="Times New Roman"/>
          <w:b/>
          <w:bCs/>
          <w:szCs w:val="24"/>
          <w:lang w:val="en-GB"/>
        </w:rPr>
        <w:t xml:space="preserve">FG </w:t>
      </w:r>
      <w:r w:rsidR="008D4074">
        <w:rPr>
          <w:rFonts w:ascii="Times New Roman" w:hAnsi="Times New Roman"/>
          <w:b/>
          <w:bCs/>
          <w:szCs w:val="24"/>
          <w:lang w:val="en-GB"/>
        </w:rPr>
        <w:t>20-6</w:t>
      </w:r>
    </w:p>
    <w:p w14:paraId="09CED034" w14:textId="3D2B3583" w:rsidR="000C097F" w:rsidRPr="0068121B" w:rsidRDefault="00F90415" w:rsidP="00877FB6">
      <w:pPr>
        <w:numPr>
          <w:ilvl w:val="2"/>
          <w:numId w:val="103"/>
        </w:numPr>
        <w:jc w:val="both"/>
        <w:rPr>
          <w:rFonts w:ascii="Times New Roman" w:hAnsi="Times New Roman"/>
          <w:szCs w:val="24"/>
          <w:lang w:val="en-GB"/>
        </w:rPr>
      </w:pPr>
      <w:r>
        <w:rPr>
          <w:rFonts w:ascii="Times New Roman" w:hAnsi="Times New Roman"/>
          <w:szCs w:val="24"/>
          <w:lang w:val="en-GB"/>
        </w:rPr>
        <w:t xml:space="preserve">The </w:t>
      </w:r>
      <w:bookmarkStart w:id="0" w:name="_GoBack"/>
      <w:bookmarkEnd w:id="0"/>
      <w:r w:rsidR="0068121B" w:rsidRPr="0068121B">
        <w:rPr>
          <w:rFonts w:ascii="Times New Roman" w:hAnsi="Times New Roman"/>
          <w:szCs w:val="24"/>
          <w:lang w:val="en-GB"/>
        </w:rPr>
        <w:t xml:space="preserve">H/S/NA attributes for the IAB-node DU resource configuration are semi-statically indicated per-resource </w:t>
      </w:r>
      <w:r w:rsidR="0068121B">
        <w:rPr>
          <w:rFonts w:ascii="Times New Roman" w:hAnsi="Times New Roman"/>
          <w:szCs w:val="24"/>
          <w:lang w:val="en-GB"/>
        </w:rPr>
        <w:t>t</w:t>
      </w:r>
      <w:r w:rsidR="0068121B" w:rsidRPr="0068121B">
        <w:rPr>
          <w:rFonts w:ascii="Times New Roman" w:hAnsi="Times New Roman"/>
          <w:szCs w:val="24"/>
          <w:lang w:val="en-GB"/>
        </w:rPr>
        <w:t xml:space="preserve">ype. </w:t>
      </w:r>
      <w:r w:rsidR="000C097F" w:rsidRPr="0068121B">
        <w:rPr>
          <w:rFonts w:ascii="Times New Roman" w:hAnsi="Times New Roman"/>
          <w:szCs w:val="24"/>
          <w:lang w:val="en-GB"/>
        </w:rPr>
        <w:t>In case of not supporting F</w:t>
      </w:r>
      <w:r w:rsidR="0068121B">
        <w:rPr>
          <w:rFonts w:ascii="Times New Roman" w:hAnsi="Times New Roman"/>
          <w:szCs w:val="24"/>
          <w:lang w:val="en-GB"/>
        </w:rPr>
        <w:t>G 20-6, it is still possible that the IAB-node DU can transmit or receive on soft resource in implicit manner.</w:t>
      </w:r>
      <w:r w:rsidR="00877FB6">
        <w:rPr>
          <w:rFonts w:ascii="Times New Roman" w:hAnsi="Times New Roman"/>
          <w:szCs w:val="24"/>
          <w:lang w:val="en-GB"/>
        </w:rPr>
        <w:t xml:space="preserve"> </w:t>
      </w:r>
      <w:r w:rsidR="000C097F" w:rsidRPr="0068121B">
        <w:rPr>
          <w:rFonts w:ascii="Times New Roman" w:hAnsi="Times New Roman"/>
          <w:szCs w:val="24"/>
          <w:lang w:val="en-GB"/>
        </w:rPr>
        <w:t xml:space="preserve">The efficiency of resource indication </w:t>
      </w:r>
      <w:r w:rsidR="00877FB6">
        <w:rPr>
          <w:rFonts w:ascii="Times New Roman" w:hAnsi="Times New Roman"/>
          <w:szCs w:val="24"/>
          <w:lang w:val="en-GB"/>
        </w:rPr>
        <w:t>can</w:t>
      </w:r>
      <w:r w:rsidR="000C097F" w:rsidRPr="0068121B">
        <w:rPr>
          <w:rFonts w:ascii="Times New Roman" w:hAnsi="Times New Roman"/>
          <w:szCs w:val="24"/>
          <w:lang w:val="en-GB"/>
        </w:rPr>
        <w:t xml:space="preserve"> be degraded with semi-static resource configuration only</w:t>
      </w:r>
      <w:r w:rsidR="00076D56" w:rsidRPr="0068121B">
        <w:rPr>
          <w:rFonts w:ascii="Times New Roman" w:hAnsi="Times New Roman"/>
          <w:szCs w:val="24"/>
          <w:lang w:val="en-GB"/>
        </w:rPr>
        <w:t>,</w:t>
      </w:r>
      <w:r w:rsidR="000C097F" w:rsidRPr="0068121B">
        <w:rPr>
          <w:rFonts w:ascii="Times New Roman" w:hAnsi="Times New Roman"/>
          <w:szCs w:val="24"/>
          <w:lang w:val="en-GB"/>
        </w:rPr>
        <w:t xml:space="preserve"> but semi-static resource configuration can still work. So, in our view, FG 20-6 can be optional.</w:t>
      </w:r>
    </w:p>
    <w:p w14:paraId="1AC3F1F7" w14:textId="12492A44" w:rsidR="00D63908" w:rsidRPr="00153590" w:rsidRDefault="008F5234" w:rsidP="00D63908">
      <w:pPr>
        <w:ind w:firstLineChars="193" w:firstLine="425"/>
        <w:jc w:val="both"/>
        <w:rPr>
          <w:rFonts w:ascii="Times New Roman" w:hAnsi="Times New Roman"/>
          <w:b/>
          <w:szCs w:val="24"/>
          <w:lang w:val="en-GB"/>
        </w:rPr>
      </w:pPr>
      <w:r>
        <w:rPr>
          <w:rFonts w:ascii="Times New Roman" w:hAnsi="Times New Roman"/>
          <w:b/>
          <w:bCs/>
          <w:szCs w:val="24"/>
          <w:lang w:val="en-GB"/>
        </w:rPr>
        <w:t xml:space="preserve">FG </w:t>
      </w:r>
      <w:r w:rsidR="008D4074">
        <w:rPr>
          <w:rFonts w:ascii="Times New Roman" w:hAnsi="Times New Roman"/>
          <w:b/>
          <w:bCs/>
          <w:szCs w:val="24"/>
          <w:lang w:val="en-GB"/>
        </w:rPr>
        <w:t>20-</w:t>
      </w:r>
      <w:r w:rsidR="0010503F">
        <w:rPr>
          <w:rFonts w:ascii="Times New Roman" w:hAnsi="Times New Roman"/>
          <w:b/>
          <w:bCs/>
          <w:szCs w:val="24"/>
          <w:lang w:val="en-GB"/>
        </w:rPr>
        <w:t>7</w:t>
      </w:r>
    </w:p>
    <w:p w14:paraId="57312C45" w14:textId="15915389" w:rsidR="00DA3BFA" w:rsidRDefault="0057231B" w:rsidP="00DA3BFA">
      <w:pPr>
        <w:pStyle w:val="a4"/>
        <w:numPr>
          <w:ilvl w:val="2"/>
          <w:numId w:val="103"/>
        </w:numPr>
        <w:rPr>
          <w:rFonts w:ascii="Times New Roman" w:hAnsi="Times New Roman"/>
          <w:szCs w:val="24"/>
          <w:lang w:val="en-GB"/>
        </w:rPr>
      </w:pPr>
      <w:r>
        <w:rPr>
          <w:rFonts w:ascii="Times New Roman" w:hAnsi="Times New Roman"/>
          <w:szCs w:val="24"/>
          <w:lang w:val="en-GB"/>
        </w:rPr>
        <w:t xml:space="preserve">DL Tx timing alignment </w:t>
      </w:r>
      <w:r w:rsidR="004666DB">
        <w:rPr>
          <w:rFonts w:ascii="Times New Roman" w:hAnsi="Times New Roman"/>
          <w:szCs w:val="24"/>
          <w:lang w:val="en-GB"/>
        </w:rPr>
        <w:t>may</w:t>
      </w:r>
      <w:r w:rsidR="0010503F" w:rsidRPr="0010503F">
        <w:rPr>
          <w:rFonts w:ascii="Times New Roman" w:hAnsi="Times New Roman"/>
          <w:szCs w:val="24"/>
          <w:lang w:val="en-GB"/>
        </w:rPr>
        <w:t xml:space="preserve"> be</w:t>
      </w:r>
      <w:r>
        <w:rPr>
          <w:rFonts w:ascii="Times New Roman" w:hAnsi="Times New Roman"/>
          <w:szCs w:val="24"/>
          <w:lang w:val="en-GB"/>
        </w:rPr>
        <w:t xml:space="preserve"> guaranteed </w:t>
      </w:r>
      <w:r w:rsidR="0010503F" w:rsidRPr="0010503F">
        <w:rPr>
          <w:rFonts w:ascii="Times New Roman" w:hAnsi="Times New Roman"/>
          <w:szCs w:val="24"/>
          <w:lang w:val="en-GB"/>
        </w:rPr>
        <w:t>by GNSS</w:t>
      </w:r>
      <w:r>
        <w:rPr>
          <w:rFonts w:ascii="Times New Roman" w:hAnsi="Times New Roman"/>
          <w:szCs w:val="24"/>
          <w:lang w:val="en-GB"/>
        </w:rPr>
        <w:t>. H</w:t>
      </w:r>
      <w:r w:rsidR="0010503F" w:rsidRPr="0010503F">
        <w:rPr>
          <w:rFonts w:ascii="Times New Roman" w:hAnsi="Times New Roman"/>
          <w:szCs w:val="24"/>
          <w:lang w:val="en-GB"/>
        </w:rPr>
        <w:t xml:space="preserve">owever, </w:t>
      </w:r>
      <w:r>
        <w:rPr>
          <w:rFonts w:ascii="Times New Roman" w:hAnsi="Times New Roman"/>
          <w:szCs w:val="24"/>
          <w:lang w:val="en-GB"/>
        </w:rPr>
        <w:t xml:space="preserve">if the IAB node is not equipped with </w:t>
      </w:r>
      <w:r w:rsidR="0010503F" w:rsidRPr="0010503F">
        <w:rPr>
          <w:rFonts w:ascii="Times New Roman" w:hAnsi="Times New Roman"/>
          <w:szCs w:val="24"/>
          <w:lang w:val="en-GB"/>
        </w:rPr>
        <w:t xml:space="preserve">GNSS without mandated 20-7, </w:t>
      </w:r>
      <w:r w:rsidR="004666DB">
        <w:rPr>
          <w:rFonts w:ascii="Times New Roman" w:hAnsi="Times New Roman"/>
          <w:szCs w:val="24"/>
          <w:lang w:val="en-GB"/>
        </w:rPr>
        <w:t>DL Tx</w:t>
      </w:r>
      <w:r w:rsidR="0010503F" w:rsidRPr="0010503F">
        <w:rPr>
          <w:rFonts w:ascii="Times New Roman" w:hAnsi="Times New Roman"/>
          <w:szCs w:val="24"/>
          <w:lang w:val="en-GB"/>
        </w:rPr>
        <w:t xml:space="preserve"> timing</w:t>
      </w:r>
      <w:r>
        <w:rPr>
          <w:rFonts w:ascii="Times New Roman" w:hAnsi="Times New Roman"/>
          <w:szCs w:val="24"/>
          <w:lang w:val="en-GB"/>
        </w:rPr>
        <w:t xml:space="preserve"> alignment </w:t>
      </w:r>
      <w:r w:rsidR="0010503F" w:rsidRPr="0010503F">
        <w:rPr>
          <w:rFonts w:ascii="Times New Roman" w:hAnsi="Times New Roman"/>
          <w:szCs w:val="24"/>
          <w:lang w:val="en-GB"/>
        </w:rPr>
        <w:t xml:space="preserve">cannot be maintained and it will directly give impact on reliability of backhaul link. </w:t>
      </w:r>
      <w:r>
        <w:rPr>
          <w:rFonts w:ascii="Times New Roman" w:hAnsi="Times New Roman"/>
          <w:szCs w:val="24"/>
          <w:lang w:val="en-GB"/>
        </w:rPr>
        <w:t xml:space="preserve">Thus, we think </w:t>
      </w:r>
      <w:r w:rsidR="0010503F" w:rsidRPr="0010503F">
        <w:rPr>
          <w:rFonts w:ascii="Times New Roman" w:hAnsi="Times New Roman"/>
          <w:szCs w:val="24"/>
          <w:lang w:val="en-GB"/>
        </w:rPr>
        <w:t>it is preferable to be 20-7 as mandatory feature</w:t>
      </w:r>
      <w:r w:rsidR="004666DB">
        <w:rPr>
          <w:rFonts w:ascii="Times New Roman" w:hAnsi="Times New Roman"/>
          <w:szCs w:val="24"/>
          <w:lang w:val="en-GB"/>
        </w:rPr>
        <w:t>.</w:t>
      </w:r>
    </w:p>
    <w:p w14:paraId="58A9A1F5" w14:textId="77777777" w:rsidR="00877FB6" w:rsidRDefault="00877FB6" w:rsidP="00877FB6">
      <w:pPr>
        <w:rPr>
          <w:rFonts w:ascii="Times New Roman" w:hAnsi="Times New Roman"/>
          <w:szCs w:val="24"/>
          <w:lang w:val="en-GB"/>
        </w:rPr>
      </w:pPr>
    </w:p>
    <w:p w14:paraId="62DEB3A0" w14:textId="77777777" w:rsidR="00877FB6" w:rsidRPr="00877FB6" w:rsidRDefault="00877FB6" w:rsidP="00877FB6">
      <w:pPr>
        <w:keepNext/>
        <w:numPr>
          <w:ilvl w:val="1"/>
          <w:numId w:val="1"/>
        </w:numPr>
        <w:spacing w:before="240" w:after="60"/>
        <w:outlineLvl w:val="1"/>
        <w:rPr>
          <w:rFonts w:ascii="Cambria" w:hAnsi="Cambria"/>
          <w:b/>
          <w:bCs/>
          <w:i/>
          <w:iCs/>
          <w:sz w:val="28"/>
          <w:szCs w:val="28"/>
          <w:lang w:val="x-none"/>
        </w:rPr>
      </w:pPr>
      <w:r w:rsidRPr="00877FB6">
        <w:rPr>
          <w:rFonts w:ascii="Cambria" w:hAnsi="Cambria" w:hint="eastAsia"/>
          <w:b/>
          <w:bCs/>
          <w:i/>
          <w:iCs/>
          <w:sz w:val="28"/>
          <w:szCs w:val="28"/>
          <w:lang w:val="x-none"/>
        </w:rPr>
        <w:lastRenderedPageBreak/>
        <w:t>Rel-</w:t>
      </w:r>
      <w:r w:rsidRPr="00877FB6">
        <w:rPr>
          <w:rFonts w:ascii="Cambria" w:hAnsi="Cambria"/>
          <w:b/>
          <w:bCs/>
          <w:i/>
          <w:iCs/>
          <w:sz w:val="28"/>
          <w:szCs w:val="28"/>
          <w:lang w:val="x-none"/>
        </w:rPr>
        <w:t>15 NR UE mandatory features for NR IAB</w:t>
      </w:r>
    </w:p>
    <w:p w14:paraId="149DF079" w14:textId="642143E6" w:rsidR="00877FB6" w:rsidRPr="00877FB6" w:rsidRDefault="00877FB6" w:rsidP="00877FB6">
      <w:pPr>
        <w:ind w:firstLineChars="193" w:firstLine="425"/>
        <w:jc w:val="both"/>
        <w:rPr>
          <w:rFonts w:ascii="Times New Roman" w:hAnsi="Times New Roman"/>
        </w:rPr>
      </w:pPr>
      <w:r w:rsidRPr="00877FB6">
        <w:rPr>
          <w:rFonts w:ascii="Times New Roman" w:hAnsi="Times New Roman" w:hint="eastAsia"/>
        </w:rPr>
        <w:t>In RAN1#100b</w:t>
      </w:r>
      <w:r>
        <w:rPr>
          <w:rFonts w:ascii="Times New Roman" w:hAnsi="Times New Roman"/>
        </w:rPr>
        <w:t>-e</w:t>
      </w:r>
      <w:r w:rsidRPr="00877FB6">
        <w:rPr>
          <w:rFonts w:ascii="Times New Roman" w:hAnsi="Times New Roman" w:hint="eastAsia"/>
        </w:rPr>
        <w:t xml:space="preserve"> meeting, the following was agreed as working assumption regarding applicability of Rel-15 NR UE mandatory features to Rel-16 IAB-MT.</w:t>
      </w:r>
    </w:p>
    <w:tbl>
      <w:tblPr>
        <w:tblStyle w:val="10"/>
        <w:tblW w:w="0" w:type="auto"/>
        <w:tblLook w:val="04A0" w:firstRow="1" w:lastRow="0" w:firstColumn="1" w:lastColumn="0" w:noHBand="0" w:noVBand="1"/>
      </w:tblPr>
      <w:tblGrid>
        <w:gridCol w:w="10457"/>
      </w:tblGrid>
      <w:tr w:rsidR="00877FB6" w:rsidRPr="00877FB6" w14:paraId="5ADF025C" w14:textId="77777777" w:rsidTr="00225172">
        <w:tc>
          <w:tcPr>
            <w:tcW w:w="10457" w:type="dxa"/>
          </w:tcPr>
          <w:p w14:paraId="0A1F024A" w14:textId="77777777" w:rsidR="00877FB6" w:rsidRPr="00877FB6" w:rsidRDefault="00877FB6" w:rsidP="00877FB6">
            <w:pPr>
              <w:rPr>
                <w:highlight w:val="darkYellow"/>
                <w:lang w:eastAsia="zh-CN"/>
              </w:rPr>
            </w:pPr>
            <w:r w:rsidRPr="00877FB6">
              <w:rPr>
                <w:b/>
                <w:bCs/>
                <w:highlight w:val="darkYellow"/>
              </w:rPr>
              <w:t xml:space="preserve">Working Assumption: </w:t>
            </w:r>
          </w:p>
          <w:p w14:paraId="62A78A6D" w14:textId="77777777" w:rsidR="00877FB6" w:rsidRPr="00877FB6" w:rsidRDefault="00877FB6" w:rsidP="00877FB6">
            <w:pPr>
              <w:numPr>
                <w:ilvl w:val="0"/>
                <w:numId w:val="111"/>
              </w:numPr>
              <w:spacing w:before="60" w:after="60" w:line="288" w:lineRule="auto"/>
              <w:jc w:val="both"/>
              <w:rPr>
                <w:rFonts w:ascii="Times New Roman" w:hAnsi="Times New Roman" w:cs="바탕"/>
                <w:color w:val="000000"/>
                <w:sz w:val="20"/>
                <w:szCs w:val="20"/>
                <w:lang w:val="en-GB"/>
              </w:rPr>
            </w:pPr>
            <w:r w:rsidRPr="00877FB6">
              <w:rPr>
                <w:rFonts w:cs="Calibri"/>
                <w:sz w:val="20"/>
                <w:szCs w:val="20"/>
                <w:lang w:val="en-GB"/>
              </w:rPr>
              <w:t>IAB-MTs s</w:t>
            </w:r>
            <w:r w:rsidRPr="00877FB6">
              <w:rPr>
                <w:rFonts w:cs="Calibri"/>
                <w:color w:val="000000"/>
                <w:sz w:val="20"/>
                <w:szCs w:val="20"/>
                <w:lang w:val="en-GB"/>
              </w:rPr>
              <w:t>upport the following Rel. 15 layer-1 mandatory UE features (as defined in TR38.822)</w:t>
            </w:r>
            <w:r w:rsidRPr="00877FB6">
              <w:rPr>
                <w:rFonts w:cs="Calibri"/>
                <w:strike/>
                <w:color w:val="000000"/>
                <w:sz w:val="20"/>
                <w:szCs w:val="20"/>
                <w:lang w:val="en-GB"/>
              </w:rPr>
              <w:t xml:space="preserve"> </w:t>
            </w:r>
            <w:r w:rsidRPr="00877FB6">
              <w:rPr>
                <w:rFonts w:cs="Calibri"/>
                <w:sz w:val="20"/>
                <w:szCs w:val="20"/>
                <w:lang w:val="en-GB"/>
              </w:rPr>
              <w:t>at least for</w:t>
            </w:r>
            <w:r w:rsidRPr="00877FB6">
              <w:rPr>
                <w:rFonts w:cs="Calibri"/>
                <w:color w:val="FF0000"/>
                <w:sz w:val="20"/>
                <w:szCs w:val="20"/>
                <w:lang w:val="en-GB"/>
              </w:rPr>
              <w:t xml:space="preserve"> </w:t>
            </w:r>
            <w:r w:rsidRPr="00877FB6">
              <w:rPr>
                <w:rFonts w:cs="Calibri"/>
                <w:sz w:val="20"/>
                <w:szCs w:val="20"/>
                <w:lang w:val="en-GB"/>
              </w:rPr>
              <w:t xml:space="preserve">wide-area </w:t>
            </w:r>
            <w:r w:rsidRPr="00877FB6">
              <w:rPr>
                <w:rFonts w:cs="Calibri"/>
                <w:color w:val="000000"/>
                <w:sz w:val="20"/>
                <w:szCs w:val="20"/>
                <w:lang w:val="en-GB"/>
              </w:rPr>
              <w:t>IAB-nodes</w:t>
            </w:r>
          </w:p>
          <w:p w14:paraId="5076649E" w14:textId="77777777" w:rsidR="00877FB6" w:rsidRPr="00877FB6" w:rsidRDefault="00877FB6" w:rsidP="00877FB6">
            <w:pPr>
              <w:numPr>
                <w:ilvl w:val="1"/>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 xml:space="preserve">Without capability </w:t>
            </w:r>
          </w:p>
          <w:p w14:paraId="68FEE640" w14:textId="77777777" w:rsidR="00877FB6" w:rsidRPr="00877FB6" w:rsidRDefault="00877FB6" w:rsidP="00877FB6">
            <w:pPr>
              <w:numPr>
                <w:ilvl w:val="2"/>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0-1, 0-3, 0-4, 1-1 [FFS components], 2-1, [2-5], [2-6], 2-12, [2-16], [2-16a], 2-32 [FFS components], 2-50 [FFS components], 2-52 [FFS components], 3-1 [FFS components], [3-4], [4-1], [4-10], 5-1 [FFS components], 6-1, 7-1, [8-3]</w:t>
            </w:r>
          </w:p>
          <w:p w14:paraId="15D411D3" w14:textId="6DD5273E" w:rsidR="00877FB6" w:rsidRPr="00877FB6" w:rsidRDefault="00877FB6" w:rsidP="00877FB6">
            <w:pPr>
              <w:numPr>
                <w:ilvl w:val="1"/>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With capability signal</w:t>
            </w:r>
            <w:r w:rsidR="003E3DB1">
              <w:rPr>
                <w:rFonts w:cs="Calibri"/>
                <w:color w:val="000000"/>
                <w:sz w:val="20"/>
                <w:szCs w:val="20"/>
                <w:lang w:val="en-GB"/>
              </w:rPr>
              <w:t>l</w:t>
            </w:r>
            <w:r w:rsidRPr="00877FB6">
              <w:rPr>
                <w:rFonts w:cs="Calibri"/>
                <w:color w:val="000000"/>
                <w:sz w:val="20"/>
                <w:szCs w:val="20"/>
                <w:lang w:val="en-GB"/>
              </w:rPr>
              <w:t>ing which shall be set to '1'</w:t>
            </w:r>
          </w:p>
          <w:p w14:paraId="03BC86B3" w14:textId="77777777" w:rsidR="00877FB6" w:rsidRPr="00877FB6" w:rsidRDefault="00877FB6" w:rsidP="00877FB6">
            <w:pPr>
              <w:numPr>
                <w:ilvl w:val="2"/>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[1-3]  </w:t>
            </w:r>
          </w:p>
          <w:p w14:paraId="72883998" w14:textId="77777777" w:rsidR="00877FB6" w:rsidRPr="00877FB6" w:rsidRDefault="00877FB6" w:rsidP="00877FB6">
            <w:pPr>
              <w:numPr>
                <w:ilvl w:val="0"/>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 xml:space="preserve">FFS whether additional Rel. 15 layer-1 mandatory UE features (as defined in TR38.822) </w:t>
            </w:r>
            <w:r w:rsidRPr="00877FB6">
              <w:rPr>
                <w:rFonts w:cs="Calibri"/>
                <w:color w:val="000000"/>
                <w:sz w:val="20"/>
                <w:szCs w:val="20"/>
                <w:u w:val="single"/>
                <w:lang w:val="en-GB"/>
              </w:rPr>
              <w:t xml:space="preserve">including list below </w:t>
            </w:r>
            <w:r w:rsidRPr="00877FB6">
              <w:rPr>
                <w:rFonts w:cs="Calibri"/>
                <w:color w:val="000000"/>
                <w:sz w:val="20"/>
                <w:szCs w:val="20"/>
                <w:lang w:val="en-GB"/>
              </w:rPr>
              <w:t>are optional at least for IAB-MTs of wide-area IAB-nodes, remain mandatory, or have a default value</w:t>
            </w:r>
          </w:p>
          <w:p w14:paraId="6F1681BD" w14:textId="77777777" w:rsidR="00877FB6" w:rsidRPr="00877FB6" w:rsidRDefault="00877FB6" w:rsidP="00877FB6">
            <w:pPr>
              <w:numPr>
                <w:ilvl w:val="1"/>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 xml:space="preserve">Without capability </w:t>
            </w:r>
          </w:p>
          <w:p w14:paraId="4D7C23E0" w14:textId="77777777" w:rsidR="00877FB6" w:rsidRPr="00877FB6" w:rsidRDefault="00877FB6" w:rsidP="00877FB6">
            <w:pPr>
              <w:numPr>
                <w:ilvl w:val="2"/>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[0-2], [4-3], [4-4], [5-6]</w:t>
            </w:r>
          </w:p>
          <w:p w14:paraId="2E7917BA" w14:textId="254F6206" w:rsidR="00877FB6" w:rsidRPr="00877FB6" w:rsidRDefault="00877FB6" w:rsidP="00877FB6">
            <w:pPr>
              <w:numPr>
                <w:ilvl w:val="1"/>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With capability signal</w:t>
            </w:r>
            <w:r w:rsidR="003E3DB1">
              <w:rPr>
                <w:rFonts w:cs="Calibri"/>
                <w:color w:val="000000"/>
                <w:sz w:val="20"/>
                <w:szCs w:val="20"/>
                <w:lang w:val="en-GB"/>
              </w:rPr>
              <w:t>l</w:t>
            </w:r>
            <w:r w:rsidRPr="00877FB6">
              <w:rPr>
                <w:rFonts w:cs="Calibri"/>
                <w:color w:val="000000"/>
                <w:sz w:val="20"/>
                <w:szCs w:val="20"/>
                <w:lang w:val="en-GB"/>
              </w:rPr>
              <w:t>ing</w:t>
            </w:r>
          </w:p>
          <w:p w14:paraId="768FFBC1" w14:textId="77777777" w:rsidR="00877FB6" w:rsidRPr="00877FB6" w:rsidRDefault="00877FB6" w:rsidP="00877FB6">
            <w:pPr>
              <w:numPr>
                <w:ilvl w:val="2"/>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[1-10], [2-2], [2-21], [2-22], [2-25]</w:t>
            </w:r>
          </w:p>
          <w:p w14:paraId="0CBA1C5E" w14:textId="77777777" w:rsidR="00877FB6" w:rsidRPr="00877FB6" w:rsidRDefault="00877FB6" w:rsidP="00877FB6">
            <w:pPr>
              <w:numPr>
                <w:ilvl w:val="1"/>
                <w:numId w:val="111"/>
              </w:numPr>
              <w:spacing w:before="60" w:after="60" w:line="288" w:lineRule="auto"/>
              <w:jc w:val="both"/>
              <w:rPr>
                <w:rFonts w:ascii="Times New Roman" w:hAnsi="Times New Roman" w:cs="바탕"/>
                <w:color w:val="000000"/>
                <w:sz w:val="20"/>
                <w:szCs w:val="20"/>
                <w:lang w:val="en-GB"/>
              </w:rPr>
            </w:pPr>
            <w:r w:rsidRPr="00877FB6">
              <w:rPr>
                <w:rFonts w:cs="Calibri"/>
                <w:color w:val="000000"/>
                <w:sz w:val="20"/>
                <w:szCs w:val="20"/>
                <w:lang w:val="en-GB"/>
              </w:rPr>
              <w:t>Note: This doesn’t mean that the UE features under FFS will not be supported by wide-area IAB-MT at all if RAN1 does not reach a consensus on them</w:t>
            </w:r>
          </w:p>
        </w:tc>
      </w:tr>
    </w:tbl>
    <w:p w14:paraId="386A76D0" w14:textId="77777777" w:rsidR="00877FB6" w:rsidRPr="00877FB6" w:rsidRDefault="00877FB6" w:rsidP="00877FB6">
      <w:pPr>
        <w:ind w:firstLineChars="193" w:firstLine="425"/>
        <w:jc w:val="both"/>
        <w:rPr>
          <w:rFonts w:ascii="Times New Roman" w:hAnsi="Times New Roman"/>
        </w:rPr>
      </w:pPr>
    </w:p>
    <w:p w14:paraId="675CD8E9" w14:textId="77777777" w:rsidR="00877FB6" w:rsidRPr="00877FB6" w:rsidRDefault="00877FB6" w:rsidP="00877FB6">
      <w:pPr>
        <w:ind w:firstLineChars="193" w:firstLine="425"/>
        <w:jc w:val="both"/>
        <w:rPr>
          <w:rFonts w:ascii="Times New Roman" w:hAnsi="Times New Roman"/>
        </w:rPr>
      </w:pPr>
      <w:r w:rsidRPr="00877FB6">
        <w:rPr>
          <w:rFonts w:ascii="Times New Roman" w:hAnsi="Times New Roman" w:hint="eastAsia"/>
        </w:rPr>
        <w:t xml:space="preserve">We share our further views </w:t>
      </w:r>
      <w:r w:rsidRPr="00877FB6">
        <w:rPr>
          <w:rFonts w:ascii="Times New Roman" w:hAnsi="Times New Roman"/>
        </w:rPr>
        <w:t>on the</w:t>
      </w:r>
      <w:r w:rsidRPr="00877FB6">
        <w:rPr>
          <w:rFonts w:ascii="Times New Roman" w:hAnsi="Times New Roman" w:hint="eastAsia"/>
        </w:rPr>
        <w:t xml:space="preserve"> specific feature groups classified above as follows.</w:t>
      </w:r>
    </w:p>
    <w:p w14:paraId="6FFA4A31" w14:textId="77777777" w:rsidR="00877FB6" w:rsidRPr="00877FB6" w:rsidRDefault="00877FB6" w:rsidP="00877FB6">
      <w:pPr>
        <w:ind w:firstLineChars="193" w:firstLine="425"/>
        <w:jc w:val="both"/>
        <w:rPr>
          <w:rFonts w:ascii="Times New Roman" w:hAnsi="Times New Roman"/>
          <w:b/>
          <w:bCs/>
          <w:szCs w:val="24"/>
          <w:lang w:val="en-GB"/>
        </w:rPr>
      </w:pPr>
      <w:r w:rsidRPr="00877FB6">
        <w:rPr>
          <w:rFonts w:ascii="Times New Roman" w:hAnsi="Times New Roman"/>
          <w:b/>
          <w:bCs/>
          <w:szCs w:val="24"/>
          <w:lang w:val="en-GB"/>
        </w:rPr>
        <w:t>FG 0-2 (DFT-S-OFDM waveform for UL):</w:t>
      </w:r>
    </w:p>
    <w:p w14:paraId="6FFD3B0D" w14:textId="15124355" w:rsidR="00877FB6" w:rsidRPr="00877FB6" w:rsidRDefault="00877FB6" w:rsidP="00877FB6">
      <w:pPr>
        <w:pStyle w:val="a4"/>
        <w:numPr>
          <w:ilvl w:val="0"/>
          <w:numId w:val="113"/>
        </w:numPr>
        <w:jc w:val="both"/>
        <w:rPr>
          <w:rFonts w:ascii="Times New Roman" w:hAnsi="Times New Roman"/>
        </w:rPr>
      </w:pPr>
      <w:r w:rsidRPr="00877FB6">
        <w:rPr>
          <w:rFonts w:ascii="Times New Roman" w:hAnsi="Times New Roman" w:hint="eastAsia"/>
        </w:rPr>
        <w:t xml:space="preserve">This feature </w:t>
      </w:r>
      <w:r w:rsidR="0005545F">
        <w:rPr>
          <w:rFonts w:ascii="Times New Roman" w:hAnsi="Times New Roman"/>
        </w:rPr>
        <w:t xml:space="preserve">group </w:t>
      </w:r>
      <w:r w:rsidRPr="00877FB6">
        <w:rPr>
          <w:rFonts w:ascii="Times New Roman" w:hAnsi="Times New Roman" w:hint="eastAsia"/>
        </w:rPr>
        <w:t xml:space="preserve">should be mandatory for IAB-MT since </w:t>
      </w:r>
      <w:r w:rsidRPr="00877FB6">
        <w:rPr>
          <w:rFonts w:ascii="Times New Roman" w:hAnsi="Times New Roman"/>
        </w:rPr>
        <w:t xml:space="preserve">this feature can be necessary from the </w:t>
      </w:r>
      <w:r w:rsidR="0005545F">
        <w:rPr>
          <w:rFonts w:ascii="Times New Roman" w:hAnsi="Times New Roman"/>
        </w:rPr>
        <w:t xml:space="preserve">initial access </w:t>
      </w:r>
      <w:r w:rsidRPr="00877FB6">
        <w:rPr>
          <w:rFonts w:ascii="Times New Roman" w:hAnsi="Times New Roman"/>
        </w:rPr>
        <w:t xml:space="preserve">stage of IAB node to the network while </w:t>
      </w:r>
      <w:r w:rsidRPr="00877FB6">
        <w:rPr>
          <w:rFonts w:ascii="Times New Roman" w:hAnsi="Times New Roman" w:hint="eastAsia"/>
        </w:rPr>
        <w:t>it is unclear whether</w:t>
      </w:r>
      <w:r w:rsidRPr="00877FB6">
        <w:rPr>
          <w:rFonts w:ascii="Times New Roman" w:hAnsi="Times New Roman"/>
        </w:rPr>
        <w:t xml:space="preserve"> CP-OFDM only operation is enough </w:t>
      </w:r>
      <w:r w:rsidR="0005545F">
        <w:rPr>
          <w:rFonts w:ascii="Times New Roman" w:hAnsi="Times New Roman"/>
        </w:rPr>
        <w:t>to support</w:t>
      </w:r>
      <w:r w:rsidRPr="00877FB6">
        <w:rPr>
          <w:rFonts w:ascii="Times New Roman" w:hAnsi="Times New Roman" w:hint="eastAsia"/>
        </w:rPr>
        <w:t xml:space="preserve"> </w:t>
      </w:r>
      <w:r w:rsidRPr="00877FB6">
        <w:rPr>
          <w:rFonts w:ascii="Times New Roman" w:hAnsi="Times New Roman"/>
        </w:rPr>
        <w:t xml:space="preserve">maximum </w:t>
      </w:r>
      <w:r w:rsidRPr="00877FB6">
        <w:rPr>
          <w:rFonts w:ascii="Times New Roman" w:hAnsi="Times New Roman" w:hint="eastAsia"/>
        </w:rPr>
        <w:t>coverage</w:t>
      </w:r>
      <w:r w:rsidRPr="00877FB6">
        <w:rPr>
          <w:rFonts w:ascii="Times New Roman" w:hAnsi="Times New Roman"/>
        </w:rPr>
        <w:t xml:space="preserve"> </w:t>
      </w:r>
      <w:r w:rsidRPr="00877FB6">
        <w:rPr>
          <w:rFonts w:ascii="Times New Roman" w:hAnsi="Times New Roman" w:hint="eastAsia"/>
        </w:rPr>
        <w:t>for IAB node deployment scenarios.</w:t>
      </w:r>
    </w:p>
    <w:p w14:paraId="60CF484C" w14:textId="77777777" w:rsidR="00877FB6" w:rsidRPr="00877FB6" w:rsidRDefault="00877FB6" w:rsidP="00877FB6">
      <w:pPr>
        <w:ind w:firstLineChars="193" w:firstLine="425"/>
        <w:jc w:val="both"/>
        <w:rPr>
          <w:rFonts w:ascii="Times New Roman" w:hAnsi="Times New Roman"/>
          <w:b/>
          <w:bCs/>
          <w:szCs w:val="24"/>
          <w:lang w:val="en-GB"/>
        </w:rPr>
      </w:pPr>
      <w:r w:rsidRPr="00877FB6">
        <w:rPr>
          <w:rFonts w:ascii="Times New Roman" w:hAnsi="Times New Roman"/>
          <w:b/>
          <w:bCs/>
          <w:szCs w:val="24"/>
          <w:lang w:val="en-GB"/>
        </w:rPr>
        <w:t>FG 1-10 (Support of SCell without SS/PBCH block)</w:t>
      </w:r>
    </w:p>
    <w:p w14:paraId="0B157F14" w14:textId="1D99A160" w:rsidR="00877FB6" w:rsidRPr="00877FB6" w:rsidRDefault="00877FB6" w:rsidP="00877FB6">
      <w:pPr>
        <w:pStyle w:val="a4"/>
        <w:numPr>
          <w:ilvl w:val="0"/>
          <w:numId w:val="113"/>
        </w:numPr>
        <w:jc w:val="both"/>
        <w:rPr>
          <w:rFonts w:ascii="Times New Roman" w:hAnsi="Times New Roman"/>
        </w:rPr>
      </w:pPr>
      <w:r w:rsidRPr="00877FB6">
        <w:rPr>
          <w:rFonts w:ascii="Times New Roman" w:hAnsi="Times New Roman" w:hint="eastAsia"/>
        </w:rPr>
        <w:t>In Rel-15, this feature</w:t>
      </w:r>
      <w:r w:rsidR="0005545F">
        <w:rPr>
          <w:rFonts w:ascii="Times New Roman" w:hAnsi="Times New Roman"/>
        </w:rPr>
        <w:t xml:space="preserve"> group</w:t>
      </w:r>
      <w:r w:rsidRPr="00877FB6">
        <w:rPr>
          <w:rFonts w:ascii="Times New Roman" w:hAnsi="Times New Roman" w:hint="eastAsia"/>
        </w:rPr>
        <w:t xml:space="preserve"> is already </w:t>
      </w:r>
      <w:r w:rsidRPr="00877FB6">
        <w:rPr>
          <w:rFonts w:ascii="Times New Roman" w:hAnsi="Times New Roman"/>
        </w:rPr>
        <w:t xml:space="preserve">mandatory ‘under the condition that’ the UE supports intra-band CA. Therefore, it should be clarified first if there is special reason that IAB-MT should support intra-band CA operation only for the case where all the </w:t>
      </w:r>
      <w:r w:rsidR="0005545F">
        <w:rPr>
          <w:rFonts w:ascii="Times New Roman" w:hAnsi="Times New Roman"/>
        </w:rPr>
        <w:t xml:space="preserve">aggregated </w:t>
      </w:r>
      <w:r w:rsidRPr="00877FB6">
        <w:rPr>
          <w:rFonts w:ascii="Times New Roman" w:hAnsi="Times New Roman"/>
        </w:rPr>
        <w:t>carriers are configured with SS/PBCH block.</w:t>
      </w:r>
    </w:p>
    <w:p w14:paraId="52B8D238" w14:textId="77777777" w:rsidR="00877FB6" w:rsidRPr="00877FB6" w:rsidRDefault="00877FB6" w:rsidP="00877FB6">
      <w:pPr>
        <w:ind w:firstLineChars="193" w:firstLine="425"/>
        <w:jc w:val="both"/>
        <w:rPr>
          <w:rFonts w:ascii="Times New Roman" w:hAnsi="Times New Roman"/>
          <w:b/>
          <w:bCs/>
          <w:szCs w:val="24"/>
          <w:lang w:val="en-GB"/>
        </w:rPr>
      </w:pPr>
      <w:r w:rsidRPr="00877FB6">
        <w:rPr>
          <w:rFonts w:ascii="Times New Roman" w:hAnsi="Times New Roman"/>
          <w:b/>
          <w:bCs/>
          <w:szCs w:val="24"/>
          <w:lang w:val="en-GB"/>
        </w:rPr>
        <w:t>FG 2-21 (periodic beam report) &amp; FG 2-22 (aperiodic beam report)</w:t>
      </w:r>
    </w:p>
    <w:p w14:paraId="176591C7" w14:textId="77777777" w:rsidR="00877FB6" w:rsidRPr="00877FB6" w:rsidRDefault="00877FB6" w:rsidP="00877FB6">
      <w:pPr>
        <w:pStyle w:val="a4"/>
        <w:numPr>
          <w:ilvl w:val="0"/>
          <w:numId w:val="113"/>
        </w:numPr>
        <w:jc w:val="both"/>
        <w:rPr>
          <w:rFonts w:ascii="Times New Roman" w:hAnsi="Times New Roman"/>
        </w:rPr>
      </w:pPr>
      <w:r w:rsidRPr="00877FB6">
        <w:rPr>
          <w:rFonts w:ascii="Times New Roman" w:hAnsi="Times New Roman" w:hint="eastAsia"/>
        </w:rPr>
        <w:t xml:space="preserve">Multi-beam operation is </w:t>
      </w:r>
      <w:r w:rsidRPr="00877FB6">
        <w:rPr>
          <w:rFonts w:ascii="Times New Roman" w:hAnsi="Times New Roman"/>
        </w:rPr>
        <w:t xml:space="preserve">an </w:t>
      </w:r>
      <w:r w:rsidRPr="00877FB6">
        <w:rPr>
          <w:rFonts w:ascii="Times New Roman" w:hAnsi="Times New Roman" w:hint="eastAsia"/>
        </w:rPr>
        <w:t xml:space="preserve">essential feature for NR and it is not desirable to </w:t>
      </w:r>
      <w:r w:rsidRPr="00877FB6">
        <w:rPr>
          <w:rFonts w:ascii="Times New Roman" w:hAnsi="Times New Roman"/>
        </w:rPr>
        <w:t>make these FGs optional for IAB-MT. If it is necessary to reduce mandatory FGs for IAB-MT, at least aperiodic beam report (FG 2-22) should be kept mandatory since aperiodic report is more suitable than periodic report for IAB backhaul since typical IAB node can be assumed stationary and aperiodic report can save the backhaul resource.</w:t>
      </w:r>
    </w:p>
    <w:p w14:paraId="2E963432" w14:textId="77777777" w:rsidR="00877FB6" w:rsidRPr="00877FB6" w:rsidRDefault="00877FB6" w:rsidP="00877FB6">
      <w:pPr>
        <w:ind w:firstLineChars="193" w:firstLine="425"/>
        <w:jc w:val="both"/>
        <w:rPr>
          <w:rFonts w:ascii="Times New Roman" w:hAnsi="Times New Roman"/>
          <w:b/>
          <w:bCs/>
          <w:szCs w:val="24"/>
          <w:lang w:val="en-GB"/>
        </w:rPr>
      </w:pPr>
      <w:r w:rsidRPr="00877FB6">
        <w:rPr>
          <w:rFonts w:ascii="Times New Roman" w:hAnsi="Times New Roman" w:hint="eastAsia"/>
          <w:b/>
          <w:bCs/>
          <w:szCs w:val="24"/>
          <w:lang w:val="en-GB"/>
        </w:rPr>
        <w:t>Per component discussion</w:t>
      </w:r>
    </w:p>
    <w:p w14:paraId="535D1EC8" w14:textId="78ADC421" w:rsidR="00877FB6" w:rsidRPr="00877FB6" w:rsidRDefault="00877FB6" w:rsidP="00877FB6">
      <w:pPr>
        <w:pStyle w:val="a4"/>
        <w:numPr>
          <w:ilvl w:val="0"/>
          <w:numId w:val="113"/>
        </w:numPr>
        <w:jc w:val="both"/>
        <w:rPr>
          <w:rFonts w:ascii="Times New Roman" w:hAnsi="Times New Roman"/>
        </w:rPr>
      </w:pPr>
      <w:r w:rsidRPr="00877FB6">
        <w:rPr>
          <w:rFonts w:ascii="Times New Roman" w:hAnsi="Times New Roman" w:hint="eastAsia"/>
        </w:rPr>
        <w:t xml:space="preserve">Some companies suggested optional/mandatory </w:t>
      </w:r>
      <w:r w:rsidRPr="00877FB6">
        <w:rPr>
          <w:rFonts w:ascii="Times New Roman" w:hAnsi="Times New Roman"/>
        </w:rPr>
        <w:t xml:space="preserve">decision per components even for a single </w:t>
      </w:r>
      <w:r w:rsidR="0005545F">
        <w:rPr>
          <w:rFonts w:ascii="Times New Roman" w:hAnsi="Times New Roman"/>
        </w:rPr>
        <w:t>feature group</w:t>
      </w:r>
      <w:r w:rsidRPr="00877FB6">
        <w:rPr>
          <w:rFonts w:ascii="Times New Roman" w:hAnsi="Times New Roman"/>
        </w:rPr>
        <w:t xml:space="preserve">. In principle, we prefer avoiding such per-component decision because such an approach would make the discussion complex while benefits from that approach is not expected large. </w:t>
      </w:r>
    </w:p>
    <w:p w14:paraId="227FD427" w14:textId="77777777" w:rsidR="00877FB6" w:rsidRPr="00877FB6" w:rsidRDefault="00877FB6" w:rsidP="00877FB6">
      <w:pPr>
        <w:pStyle w:val="a4"/>
        <w:ind w:left="360"/>
        <w:rPr>
          <w:rFonts w:ascii="Times New Roman" w:hAnsi="Times New Roman"/>
          <w:szCs w:val="24"/>
        </w:rPr>
        <w:sectPr w:rsidR="00877FB6" w:rsidRPr="00877FB6" w:rsidSect="00C64CB0">
          <w:footerReference w:type="default" r:id="rId8"/>
          <w:pgSz w:w="11907" w:h="16839" w:code="9"/>
          <w:pgMar w:top="720" w:right="720" w:bottom="720" w:left="720" w:header="720" w:footer="720" w:gutter="0"/>
          <w:cols w:space="720"/>
          <w:docGrid w:linePitch="360"/>
        </w:sectPr>
      </w:pPr>
    </w:p>
    <w:p w14:paraId="1CC13066" w14:textId="5AB2E22D" w:rsidR="00DA3BFA" w:rsidRDefault="00DA3BFA" w:rsidP="00DA3BFA">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lastRenderedPageBreak/>
        <w:t xml:space="preserve">Conclusion </w:t>
      </w:r>
    </w:p>
    <w:p w14:paraId="3582BB20" w14:textId="4B0DB277" w:rsidR="007B2F15" w:rsidRPr="007B2F15" w:rsidRDefault="007B2F15" w:rsidP="00DA3BFA">
      <w:pPr>
        <w:rPr>
          <w:rFonts w:ascii="Times New Roman" w:hAnsi="Times New Roman"/>
          <w:szCs w:val="24"/>
        </w:rPr>
      </w:pPr>
      <w:r>
        <w:rPr>
          <w:rFonts w:ascii="Times New Roman" w:hAnsi="Times New Roman"/>
          <w:szCs w:val="24"/>
        </w:rPr>
        <w:t>I</w:t>
      </w:r>
      <w:r>
        <w:rPr>
          <w:rFonts w:ascii="Times New Roman" w:hAnsi="Times New Roman" w:hint="eastAsia"/>
          <w:szCs w:val="24"/>
        </w:rPr>
        <w:t xml:space="preserve">n </w:t>
      </w:r>
      <w:r w:rsidR="009F6F0B">
        <w:rPr>
          <w:rFonts w:ascii="Times New Roman" w:hAnsi="Times New Roman"/>
          <w:szCs w:val="24"/>
        </w:rPr>
        <w:t>this contribution, we discuss on UE feature list for NR IAB</w:t>
      </w:r>
      <w:r>
        <w:rPr>
          <w:rFonts w:ascii="Times New Roman" w:hAnsi="Times New Roman"/>
          <w:szCs w:val="24"/>
        </w:rPr>
        <w:t>.</w:t>
      </w:r>
      <w:r w:rsidR="009F6F0B">
        <w:rPr>
          <w:rFonts w:ascii="Times New Roman" w:hAnsi="Times New Roman"/>
          <w:szCs w:val="24"/>
        </w:rPr>
        <w:t xml:space="preserve"> </w:t>
      </w:r>
      <w:r>
        <w:rPr>
          <w:rFonts w:ascii="Times New Roman" w:hAnsi="Times New Roman"/>
          <w:szCs w:val="24"/>
        </w:rPr>
        <w:t>Ou</w:t>
      </w:r>
      <w:r w:rsidR="009F6F0B">
        <w:rPr>
          <w:rFonts w:ascii="Times New Roman" w:hAnsi="Times New Roman"/>
          <w:szCs w:val="24"/>
        </w:rPr>
        <w:t>r</w:t>
      </w:r>
      <w:r>
        <w:rPr>
          <w:rFonts w:ascii="Times New Roman" w:hAnsi="Times New Roman"/>
          <w:szCs w:val="24"/>
        </w:rPr>
        <w:t xml:space="preserve"> proposal</w:t>
      </w:r>
      <w:r w:rsidR="00877FB6">
        <w:rPr>
          <w:rFonts w:ascii="Times New Roman" w:hAnsi="Times New Roman"/>
          <w:szCs w:val="24"/>
        </w:rPr>
        <w:t>s</w:t>
      </w:r>
      <w:r>
        <w:rPr>
          <w:rFonts w:ascii="Times New Roman" w:hAnsi="Times New Roman"/>
          <w:szCs w:val="24"/>
        </w:rPr>
        <w:t xml:space="preserve"> </w:t>
      </w:r>
      <w:r w:rsidR="00877FB6">
        <w:rPr>
          <w:rFonts w:ascii="Times New Roman" w:hAnsi="Times New Roman"/>
          <w:szCs w:val="24"/>
        </w:rPr>
        <w:t>are</w:t>
      </w:r>
      <w:r>
        <w:rPr>
          <w:rFonts w:ascii="Times New Roman" w:hAnsi="Times New Roman"/>
          <w:szCs w:val="24"/>
        </w:rPr>
        <w:t xml:space="preserve"> as follows:</w:t>
      </w:r>
    </w:p>
    <w:p w14:paraId="4ED3280D" w14:textId="33C45F9E" w:rsidR="00DA3BFA" w:rsidRDefault="00DA3BFA" w:rsidP="00DA3BFA">
      <w:pPr>
        <w:rPr>
          <w:rFonts w:ascii="Times New Roman" w:hAnsi="Times New Roman"/>
          <w:b/>
          <w:i/>
          <w:szCs w:val="24"/>
        </w:rPr>
      </w:pPr>
      <w:r>
        <w:rPr>
          <w:rFonts w:ascii="Times New Roman" w:hAnsi="Times New Roman" w:hint="eastAsia"/>
          <w:b/>
          <w:i/>
          <w:szCs w:val="24"/>
        </w:rPr>
        <w:t>Proposal</w:t>
      </w:r>
      <w:r w:rsidR="00877FB6">
        <w:rPr>
          <w:rFonts w:ascii="Times New Roman" w:hAnsi="Times New Roman"/>
          <w:b/>
          <w:i/>
          <w:szCs w:val="24"/>
        </w:rPr>
        <w:t>1</w:t>
      </w:r>
      <w:r>
        <w:rPr>
          <w:rFonts w:ascii="Times New Roman" w:hAnsi="Times New Roman" w:hint="eastAsia"/>
          <w:b/>
          <w:i/>
          <w:szCs w:val="24"/>
        </w:rPr>
        <w:t xml:space="preserve">: </w:t>
      </w:r>
      <w:r w:rsidR="00732E9C">
        <w:rPr>
          <w:rFonts w:ascii="Times New Roman" w:hAnsi="Times New Roman"/>
          <w:b/>
          <w:i/>
          <w:szCs w:val="24"/>
        </w:rPr>
        <w:t>Adopt</w:t>
      </w:r>
      <w:r w:rsidR="007B2F15">
        <w:rPr>
          <w:rFonts w:ascii="Times New Roman" w:hAnsi="Times New Roman"/>
          <w:b/>
          <w:i/>
          <w:szCs w:val="24"/>
        </w:rPr>
        <w:t xml:space="preserve"> </w:t>
      </w:r>
      <w:r>
        <w:rPr>
          <w:rFonts w:ascii="Times New Roman" w:hAnsi="Times New Roman"/>
          <w:b/>
          <w:i/>
          <w:szCs w:val="24"/>
        </w:rPr>
        <w:t>the RAN1 UE feature list for NR IAB</w:t>
      </w:r>
      <w:r w:rsidR="00732E9C">
        <w:rPr>
          <w:rFonts w:ascii="Times New Roman" w:hAnsi="Times New Roman"/>
          <w:b/>
          <w:i/>
          <w:szCs w:val="24"/>
        </w:rPr>
        <w:t xml:space="preserve"> below</w:t>
      </w:r>
      <w:r>
        <w:rPr>
          <w:rFonts w:ascii="Times New Roman" w:hAnsi="Times New Roman"/>
          <w:b/>
          <w:i/>
          <w:szCs w:val="24"/>
        </w:rPr>
        <w:t>.</w:t>
      </w:r>
    </w:p>
    <w:tbl>
      <w:tblPr>
        <w:tblW w:w="0" w:type="auto"/>
        <w:tblCellMar>
          <w:left w:w="0" w:type="dxa"/>
          <w:right w:w="0" w:type="dxa"/>
        </w:tblCellMar>
        <w:tblLook w:val="04A0" w:firstRow="1" w:lastRow="0" w:firstColumn="1" w:lastColumn="0" w:noHBand="0" w:noVBand="1"/>
      </w:tblPr>
      <w:tblGrid>
        <w:gridCol w:w="490"/>
        <w:gridCol w:w="2150"/>
        <w:gridCol w:w="2760"/>
        <w:gridCol w:w="267"/>
        <w:gridCol w:w="527"/>
        <w:gridCol w:w="517"/>
        <w:gridCol w:w="2324"/>
        <w:gridCol w:w="708"/>
        <w:gridCol w:w="447"/>
        <w:gridCol w:w="447"/>
        <w:gridCol w:w="1798"/>
        <w:gridCol w:w="840"/>
        <w:gridCol w:w="2104"/>
      </w:tblGrid>
      <w:tr w:rsidR="0012333E" w14:paraId="775CA854" w14:textId="77777777" w:rsidTr="00590C6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580DC7" w14:textId="77777777" w:rsidR="0012333E" w:rsidRDefault="0012333E" w:rsidP="00590C60">
            <w:pPr>
              <w:pStyle w:val="TAL"/>
              <w:rPr>
                <w:color w:val="000000"/>
              </w:rPr>
            </w:pPr>
            <w:r>
              <w:rPr>
                <w:color w:val="000000"/>
              </w:rPr>
              <w:t>20-2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56C40" w14:textId="77777777" w:rsidR="0012333E" w:rsidRDefault="0012333E" w:rsidP="00590C60">
            <w:pPr>
              <w:pStyle w:val="TAL"/>
              <w:rPr>
                <w:color w:val="000000"/>
              </w:rPr>
            </w:pPr>
            <w:r>
              <w:rPr>
                <w:color w:val="000000"/>
              </w:rPr>
              <w:t xml:space="preserve">Inter-IAB-node discovery and measurements: SSB reception configuration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6AEBC" w14:textId="77777777" w:rsidR="0012333E" w:rsidRDefault="0012333E" w:rsidP="00590C60">
            <w:pPr>
              <w:pStyle w:val="TAL"/>
              <w:rPr>
                <w:color w:val="000000"/>
              </w:rPr>
            </w:pPr>
            <w:r>
              <w:rPr>
                <w:color w:val="000000"/>
                <w:lang w:eastAsia="zh-CN"/>
              </w:rPr>
              <w:t>Support up to 4 SMTCs configured for an IAB node MT per frequency location, including IAB-specific SMTC window periodicities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A5A30" w14:textId="77777777" w:rsidR="0012333E" w:rsidRDefault="0012333E" w:rsidP="00590C60">
            <w:pPr>
              <w:pStyle w:val="TAL"/>
              <w:rPr>
                <w:color w:val="000000"/>
              </w:rPr>
            </w:pPr>
            <w:r>
              <w:rPr>
                <w:color w:val="000000"/>
                <w:lang w:eastAsia="zh-CN"/>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28887" w14:textId="77777777" w:rsidR="0012333E" w:rsidRDefault="0012333E" w:rsidP="00590C60">
            <w:pPr>
              <w:pStyle w:val="TAL"/>
              <w:rPr>
                <w:color w:val="000000"/>
              </w:rPr>
            </w:pPr>
            <w:r>
              <w:rPr>
                <w:color w:val="000000"/>
                <w:lang w:eastAsia="zh-CN"/>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6C7982" w14:textId="77777777" w:rsidR="0012333E" w:rsidRDefault="0012333E" w:rsidP="00590C60">
            <w:pPr>
              <w:pStyle w:val="TAL"/>
              <w:rPr>
                <w:color w:val="000000"/>
              </w:rPr>
            </w:pPr>
            <w:r>
              <w:rPr>
                <w:color w:val="000000"/>
                <w:lang w:eastAsia="zh-CN"/>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7E6197" w14:textId="77777777" w:rsidR="0012333E" w:rsidRDefault="0012333E" w:rsidP="00590C60">
            <w:pPr>
              <w:pStyle w:val="TAL"/>
              <w:rPr>
                <w:color w:val="000000"/>
              </w:rPr>
            </w:pPr>
            <w:r>
              <w:rPr>
                <w:color w:val="000000"/>
                <w:lang w:eastAsia="zh-CN"/>
              </w:rPr>
              <w:t>Separate configuration of SMTC windows for Inter-IAB node discovery and measurement is not possible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2D751" w14:textId="77777777" w:rsidR="0012333E" w:rsidRDefault="0012333E" w:rsidP="00590C60">
            <w:pPr>
              <w:pStyle w:val="TAL"/>
              <w:rPr>
                <w:color w:val="000000"/>
              </w:rPr>
            </w:pPr>
            <w:r>
              <w:rPr>
                <w:color w:val="000000"/>
                <w:lang w:eastAsia="zh-CN"/>
              </w:rPr>
              <w:t>per IAB node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B02D5" w14:textId="77777777" w:rsidR="0012333E" w:rsidRDefault="0012333E" w:rsidP="00590C60">
            <w:pPr>
              <w:pStyle w:val="TAL"/>
              <w:rPr>
                <w:color w:val="000000"/>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89F5D" w14:textId="77777777" w:rsidR="0012333E" w:rsidRDefault="0012333E" w:rsidP="00590C60">
            <w:pPr>
              <w:pStyle w:val="TAL"/>
              <w:rPr>
                <w:color w:val="000000"/>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6818A" w14:textId="77777777" w:rsidR="0012333E" w:rsidRDefault="0012333E" w:rsidP="00590C60">
            <w:pPr>
              <w:pStyle w:val="TAL"/>
              <w:rPr>
                <w:color w:val="000000"/>
              </w:rPr>
            </w:pPr>
            <w:r>
              <w:rPr>
                <w:color w:val="000000"/>
                <w:lang w:eastAsia="zh-CN"/>
              </w:rPr>
              <w:t>support mixture of FDD/TDD and/or FR1/FR2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943AEF" w14:textId="77777777" w:rsidR="0012333E" w:rsidRDefault="0012333E" w:rsidP="00590C60">
            <w:pPr>
              <w:pStyle w:val="TAL"/>
              <w:rPr>
                <w:color w:val="000000"/>
              </w:rPr>
            </w:pPr>
            <w:r>
              <w:rPr>
                <w:color w:val="000000"/>
                <w:lang w:eastAsia="zh-CN"/>
              </w:rPr>
              <w:t>IAB-MT impact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A5DEAE" w14:textId="77777777" w:rsidR="0012333E" w:rsidRDefault="0012333E" w:rsidP="00590C60">
            <w:pPr>
              <w:pStyle w:val="TAL"/>
              <w:rPr>
                <w:color w:val="000000"/>
              </w:rPr>
            </w:pPr>
            <w:r w:rsidRPr="00732E9C">
              <w:rPr>
                <w:strike/>
                <w:color w:val="FF0000"/>
              </w:rPr>
              <w:t>Optional with capability signalling.</w:t>
            </w:r>
            <w:r w:rsidRPr="00732E9C">
              <w:rPr>
                <w:color w:val="FF0000"/>
              </w:rPr>
              <w:t xml:space="preserve"> </w:t>
            </w:r>
            <w:r w:rsidRPr="0012333E">
              <w:rPr>
                <w:b/>
                <w:strike/>
                <w:color w:val="FF0000"/>
                <w:lang w:eastAsia="zh-CN"/>
              </w:rPr>
              <w:t>[</w:t>
            </w:r>
            <w:r>
              <w:rPr>
                <w:color w:val="000000"/>
                <w:lang w:eastAsia="zh-CN"/>
              </w:rPr>
              <w:t>Devices supporting IAB backhaul must report this FG as supported</w:t>
            </w:r>
            <w:r w:rsidRPr="0012333E">
              <w:rPr>
                <w:b/>
                <w:strike/>
                <w:color w:val="FF0000"/>
                <w:lang w:eastAsia="zh-CN"/>
              </w:rPr>
              <w:t>]</w:t>
            </w:r>
          </w:p>
        </w:tc>
      </w:tr>
      <w:tr w:rsidR="0012333E" w14:paraId="2CC323C7" w14:textId="77777777" w:rsidTr="00590C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286BE" w14:textId="77777777" w:rsidR="0012333E" w:rsidRDefault="0012333E" w:rsidP="00590C60">
            <w:pPr>
              <w:pStyle w:val="TAL"/>
              <w:rPr>
                <w:color w:val="000000"/>
              </w:rPr>
            </w:pPr>
            <w:r>
              <w:rPr>
                <w:color w:val="000000"/>
              </w:rPr>
              <w:t>20-3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E7F3FA" w14:textId="77777777" w:rsidR="0012333E" w:rsidRDefault="0012333E" w:rsidP="00590C60">
            <w:pPr>
              <w:pStyle w:val="TAL"/>
              <w:rPr>
                <w:color w:val="000000"/>
              </w:rPr>
            </w:pPr>
            <w:r>
              <w:rPr>
                <w:color w:val="000000"/>
              </w:rPr>
              <w:t>Extension of RACH occasions and periodicities for backhaul RACH resources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878633" w14:textId="77777777" w:rsidR="0012333E" w:rsidRDefault="0012333E" w:rsidP="00590C60">
            <w:pPr>
              <w:pStyle w:val="TAL"/>
              <w:rPr>
                <w:color w:val="000000"/>
              </w:rPr>
            </w:pPr>
            <w:r>
              <w:rPr>
                <w:color w:val="000000"/>
                <w:lang w:eastAsia="zh-CN"/>
              </w:rPr>
              <w:t>Support RACH configuration for IAB-MT separately from the RACH configuration for UE access, including new IAB-specific offset and scaling factors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343E33" w14:textId="77777777" w:rsidR="0012333E" w:rsidRDefault="0012333E" w:rsidP="00590C60">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43050A" w14:textId="77777777" w:rsidR="0012333E" w:rsidRDefault="0012333E" w:rsidP="00590C60">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253AA8" w14:textId="77777777" w:rsidR="0012333E" w:rsidRDefault="0012333E" w:rsidP="00590C60">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4819C5" w14:textId="77777777" w:rsidR="0012333E" w:rsidRDefault="0012333E" w:rsidP="00590C60">
            <w:pPr>
              <w:pStyle w:val="TAL"/>
              <w:rPr>
                <w:color w:val="000000"/>
              </w:rPr>
            </w:pPr>
            <w:r>
              <w:rPr>
                <w:color w:val="000000"/>
                <w:lang w:eastAsia="zh-CN"/>
              </w:rPr>
              <w:t>Separate configuration of RACH transmissions for access UEs and IAB nodes is not possible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117322" w14:textId="77777777" w:rsidR="0012333E" w:rsidRDefault="0012333E" w:rsidP="00590C60">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7AADA8"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64B264"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1C6E30" w14:textId="77777777" w:rsidR="0012333E" w:rsidRDefault="0012333E" w:rsidP="00590C60">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BE255" w14:textId="77777777" w:rsidR="0012333E" w:rsidRDefault="0012333E" w:rsidP="00590C60">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E6A7E0" w14:textId="77777777" w:rsidR="0012333E" w:rsidRDefault="0012333E" w:rsidP="00590C60">
            <w:pPr>
              <w:pStyle w:val="TAL"/>
              <w:rPr>
                <w:color w:val="000000"/>
              </w:rPr>
            </w:pPr>
            <w:r>
              <w:rPr>
                <w:color w:val="000000"/>
              </w:rPr>
              <w:t xml:space="preserve">Optional with capability signalling. </w:t>
            </w:r>
            <w:r w:rsidRPr="00BD3845">
              <w:rPr>
                <w:b/>
                <w:strike/>
                <w:color w:val="FF0000"/>
                <w:lang w:eastAsia="zh-CN"/>
              </w:rPr>
              <w:t>[</w:t>
            </w:r>
            <w:r w:rsidRPr="00BD3845">
              <w:rPr>
                <w:strike/>
                <w:color w:val="FF0000"/>
                <w:lang w:eastAsia="zh-CN"/>
              </w:rPr>
              <w:t>Devices supporting IAB backhaul must report this FG as supported</w:t>
            </w:r>
            <w:r w:rsidRPr="0012333E">
              <w:rPr>
                <w:b/>
                <w:strike/>
                <w:color w:val="FF0000"/>
                <w:lang w:eastAsia="zh-CN"/>
              </w:rPr>
              <w:t>]</w:t>
            </w:r>
          </w:p>
        </w:tc>
      </w:tr>
      <w:tr w:rsidR="0012333E" w14:paraId="1B525B1C" w14:textId="77777777" w:rsidTr="00590C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0563E" w14:textId="77777777" w:rsidR="0012333E" w:rsidRDefault="0012333E" w:rsidP="00590C60">
            <w:pPr>
              <w:pStyle w:val="TAL"/>
              <w:rPr>
                <w:color w:val="000000"/>
              </w:rPr>
            </w:pPr>
            <w:r>
              <w:rPr>
                <w:color w:val="000000"/>
              </w:rPr>
              <w:t>20-6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397745" w14:textId="77777777" w:rsidR="0012333E" w:rsidRDefault="0012333E" w:rsidP="00590C60">
            <w:pPr>
              <w:pStyle w:val="TAL"/>
              <w:rPr>
                <w:color w:val="000000"/>
              </w:rPr>
            </w:pPr>
            <w:r>
              <w:rPr>
                <w:color w:val="000000"/>
              </w:rPr>
              <w:t>Dynamic indication of soft resource availability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A15760" w14:textId="77777777" w:rsidR="0012333E" w:rsidRDefault="0012333E" w:rsidP="00590C60">
            <w:pPr>
              <w:pStyle w:val="TAL"/>
              <w:rPr>
                <w:color w:val="000000"/>
              </w:rPr>
            </w:pPr>
            <w:r>
              <w:rPr>
                <w:color w:val="000000"/>
                <w:lang w:eastAsia="zh-CN"/>
              </w:rPr>
              <w:t xml:space="preserve">Support monitoring DCI Format 2_5 scrambled by AI-RNTI for indication of soft resource availability to an IAB node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A1D863" w14:textId="77777777" w:rsidR="0012333E" w:rsidRDefault="0012333E" w:rsidP="00590C60">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F737FD" w14:textId="77777777" w:rsidR="0012333E" w:rsidRDefault="0012333E" w:rsidP="00590C60">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2BBF92" w14:textId="77777777" w:rsidR="0012333E" w:rsidRDefault="0012333E" w:rsidP="00590C60">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13C00" w14:textId="77777777" w:rsidR="0012333E" w:rsidRDefault="0012333E" w:rsidP="00590C60">
            <w:pPr>
              <w:pStyle w:val="TAL"/>
              <w:rPr>
                <w:color w:val="000000"/>
              </w:rPr>
            </w:pPr>
            <w:r>
              <w:rPr>
                <w:color w:val="000000"/>
                <w:lang w:eastAsia="zh-CN"/>
              </w:rPr>
              <w:t>Explicit indication of soft resource availability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479E7F" w14:textId="77777777" w:rsidR="0012333E" w:rsidRDefault="0012333E" w:rsidP="00590C60">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984774"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F9F467"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21BCEE" w14:textId="77777777" w:rsidR="0012333E" w:rsidRDefault="0012333E" w:rsidP="00590C60">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59C211" w14:textId="77777777" w:rsidR="0012333E" w:rsidRDefault="0012333E" w:rsidP="00590C60">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76C437" w14:textId="77777777" w:rsidR="0012333E" w:rsidRDefault="0012333E" w:rsidP="00590C60">
            <w:pPr>
              <w:pStyle w:val="TAL"/>
              <w:rPr>
                <w:color w:val="000000"/>
              </w:rPr>
            </w:pPr>
            <w:r>
              <w:rPr>
                <w:color w:val="000000"/>
              </w:rPr>
              <w:t xml:space="preserve">Optional with capability signalling. </w:t>
            </w:r>
            <w:r w:rsidRPr="00BD3845">
              <w:rPr>
                <w:b/>
                <w:strike/>
                <w:color w:val="FF0000"/>
                <w:lang w:eastAsia="zh-CN"/>
              </w:rPr>
              <w:t>[</w:t>
            </w:r>
            <w:r w:rsidRPr="00BD3845">
              <w:rPr>
                <w:strike/>
                <w:color w:val="FF0000"/>
                <w:lang w:eastAsia="zh-CN"/>
              </w:rPr>
              <w:t>Devices supporting IAB backhaul must report this FG as supported</w:t>
            </w:r>
            <w:r w:rsidRPr="00BD3845">
              <w:rPr>
                <w:b/>
                <w:strike/>
                <w:color w:val="FF0000"/>
                <w:lang w:eastAsia="zh-CN"/>
              </w:rPr>
              <w:t>]</w:t>
            </w:r>
          </w:p>
        </w:tc>
      </w:tr>
      <w:tr w:rsidR="0012333E" w14:paraId="0A84AE30" w14:textId="77777777" w:rsidTr="00590C60">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DEE94" w14:textId="77777777" w:rsidR="0012333E" w:rsidRDefault="0012333E" w:rsidP="00590C60">
            <w:pPr>
              <w:pStyle w:val="TAL"/>
              <w:rPr>
                <w:color w:val="000000"/>
              </w:rPr>
            </w:pPr>
            <w:r>
              <w:rPr>
                <w:color w:val="000000"/>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368074" w14:textId="77777777" w:rsidR="0012333E" w:rsidRDefault="0012333E" w:rsidP="00590C60">
            <w:pPr>
              <w:pStyle w:val="TAL"/>
              <w:rPr>
                <w:color w:val="000000"/>
              </w:rPr>
            </w:pPr>
            <w:r>
              <w:rPr>
                <w:color w:val="000000"/>
              </w:rPr>
              <w:t>Case 1 OTA timing alignment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EAB011" w14:textId="5BBF7627" w:rsidR="0012333E" w:rsidRDefault="0012333E" w:rsidP="00F61DBE">
            <w:pPr>
              <w:pStyle w:val="TAL"/>
              <w:rPr>
                <w:color w:val="000000"/>
              </w:rPr>
            </w:pPr>
            <w:r>
              <w:rPr>
                <w:color w:val="000000"/>
                <w:lang w:eastAsia="zh-CN"/>
              </w:rPr>
              <w:t>Support T</w:t>
            </w:r>
            <w:r w:rsidR="00F61DBE">
              <w:rPr>
                <w:color w:val="000000"/>
                <w:lang w:eastAsia="zh-CN"/>
              </w:rPr>
              <w:t>_</w:t>
            </w:r>
            <w:r>
              <w:rPr>
                <w:color w:val="000000"/>
                <w:lang w:eastAsia="zh-CN"/>
              </w:rPr>
              <w:t xml:space="preserve">delta reception.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71526B" w14:textId="77777777" w:rsidR="0012333E" w:rsidRDefault="0012333E" w:rsidP="00590C60">
            <w:pPr>
              <w:pStyle w:val="TAL"/>
              <w:rPr>
                <w:color w:val="000000"/>
              </w:rPr>
            </w:pPr>
            <w:r>
              <w:rPr>
                <w:color w:val="000000"/>
                <w:lang w:eastAsia="zh-CN"/>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3AF56" w14:textId="77777777" w:rsidR="0012333E" w:rsidRDefault="0012333E" w:rsidP="00590C60">
            <w:pPr>
              <w:pStyle w:val="TAL"/>
              <w:rPr>
                <w:color w:val="000000"/>
              </w:rPr>
            </w:pPr>
            <w:r>
              <w:rPr>
                <w:color w:val="000000"/>
                <w:lang w:eastAsia="zh-CN"/>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1A2F44" w14:textId="77777777" w:rsidR="0012333E" w:rsidRDefault="0012333E" w:rsidP="00590C60">
            <w:pPr>
              <w:pStyle w:val="TAL"/>
              <w:rPr>
                <w:color w:val="000000"/>
              </w:rPr>
            </w:pPr>
            <w:r>
              <w:rPr>
                <w:color w:val="000000"/>
                <w:lang w:eastAsia="zh-CN"/>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93FFF2" w14:textId="77777777" w:rsidR="0012333E" w:rsidRDefault="0012333E" w:rsidP="00590C60">
            <w:pPr>
              <w:pStyle w:val="TAL"/>
              <w:rPr>
                <w:color w:val="000000"/>
              </w:rPr>
            </w:pPr>
            <w:r>
              <w:rPr>
                <w:color w:val="000000"/>
                <w:lang w:eastAsia="zh-CN"/>
              </w:rPr>
              <w:t>Case-1 OTA timing alignment is not supported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CEC240" w14:textId="77777777" w:rsidR="0012333E" w:rsidRDefault="0012333E" w:rsidP="00590C60">
            <w:pPr>
              <w:pStyle w:val="TAL"/>
              <w:rPr>
                <w:color w:val="000000"/>
              </w:rPr>
            </w:pPr>
            <w:r>
              <w:rPr>
                <w:color w:val="000000"/>
                <w:lang w:eastAsia="zh-CN"/>
              </w:rPr>
              <w:t>per IAB node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FEFB33"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F7A73A" w14:textId="77777777" w:rsidR="0012333E" w:rsidRDefault="0012333E" w:rsidP="00590C60">
            <w:pPr>
              <w:pStyle w:val="TAL"/>
              <w:rPr>
                <w:color w:val="000000"/>
              </w:rPr>
            </w:pPr>
            <w:r>
              <w:rPr>
                <w:color w:val="000000"/>
                <w:lang w:eastAsia="zh-CN"/>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D70B6D" w14:textId="77777777" w:rsidR="0012333E" w:rsidRDefault="0012333E" w:rsidP="00590C60">
            <w:pPr>
              <w:pStyle w:val="TAL"/>
              <w:rPr>
                <w:color w:val="000000"/>
              </w:rPr>
            </w:pPr>
            <w:r>
              <w:rPr>
                <w:color w:val="000000"/>
                <w:lang w:eastAsia="zh-CN"/>
              </w:rPr>
              <w:t>support mixture of FDD/TDD and/or FR1/FR2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DE26A5" w14:textId="77777777" w:rsidR="0012333E" w:rsidRDefault="0012333E" w:rsidP="00590C60">
            <w:pPr>
              <w:pStyle w:val="TAL"/>
              <w:rPr>
                <w:color w:val="000000"/>
              </w:rPr>
            </w:pPr>
            <w:r>
              <w:rPr>
                <w:color w:val="000000"/>
                <w:lang w:eastAsia="zh-CN"/>
              </w:rPr>
              <w:t>IAB-MT impact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D5DCF" w14:textId="77777777" w:rsidR="0012333E" w:rsidRDefault="0012333E" w:rsidP="00590C60">
            <w:pPr>
              <w:pStyle w:val="TAL"/>
              <w:rPr>
                <w:color w:val="000000"/>
              </w:rPr>
            </w:pPr>
            <w:r w:rsidRPr="00732E9C">
              <w:rPr>
                <w:strike/>
                <w:color w:val="FF0000"/>
              </w:rPr>
              <w:t>Optional with capability signalling.</w:t>
            </w:r>
            <w:r w:rsidRPr="00732E9C">
              <w:rPr>
                <w:color w:val="FF0000"/>
              </w:rPr>
              <w:t xml:space="preserve"> </w:t>
            </w:r>
            <w:r w:rsidRPr="0012333E">
              <w:rPr>
                <w:b/>
                <w:strike/>
                <w:color w:val="FF0000"/>
                <w:lang w:eastAsia="zh-CN"/>
              </w:rPr>
              <w:t>[</w:t>
            </w:r>
            <w:r>
              <w:rPr>
                <w:color w:val="000000"/>
                <w:lang w:eastAsia="zh-CN"/>
              </w:rPr>
              <w:t>Devices supporting IAB backhaul must report this FG as supported</w:t>
            </w:r>
            <w:r w:rsidRPr="0012333E">
              <w:rPr>
                <w:b/>
                <w:strike/>
                <w:color w:val="FF0000"/>
                <w:lang w:eastAsia="zh-CN"/>
              </w:rPr>
              <w:t>]</w:t>
            </w:r>
          </w:p>
        </w:tc>
      </w:tr>
    </w:tbl>
    <w:p w14:paraId="432AE320" w14:textId="77777777" w:rsidR="0012333E" w:rsidRDefault="0012333E" w:rsidP="00DA3BFA">
      <w:pPr>
        <w:rPr>
          <w:lang w:eastAsia="x-none"/>
        </w:rPr>
      </w:pPr>
    </w:p>
    <w:p w14:paraId="034F1382" w14:textId="0F18258E" w:rsidR="00877FB6" w:rsidRPr="00877FB6" w:rsidRDefault="00877FB6" w:rsidP="00877FB6">
      <w:pPr>
        <w:rPr>
          <w:rFonts w:ascii="Times New Roman" w:hAnsi="Times New Roman"/>
          <w:b/>
          <w:i/>
          <w:szCs w:val="24"/>
        </w:rPr>
      </w:pPr>
      <w:r w:rsidRPr="00877FB6">
        <w:rPr>
          <w:rFonts w:ascii="Times New Roman" w:hAnsi="Times New Roman" w:hint="eastAsia"/>
          <w:b/>
          <w:i/>
          <w:szCs w:val="24"/>
        </w:rPr>
        <w:t>Proposal</w:t>
      </w:r>
      <w:r w:rsidRPr="00877FB6">
        <w:rPr>
          <w:rFonts w:ascii="Times New Roman" w:hAnsi="Times New Roman"/>
          <w:b/>
          <w:i/>
          <w:szCs w:val="24"/>
        </w:rPr>
        <w:t xml:space="preserve"> 2</w:t>
      </w:r>
      <w:r w:rsidRPr="00877FB6">
        <w:rPr>
          <w:rFonts w:ascii="Times New Roman" w:hAnsi="Times New Roman" w:hint="eastAsia"/>
          <w:b/>
          <w:i/>
          <w:szCs w:val="24"/>
        </w:rPr>
        <w:t xml:space="preserve">: </w:t>
      </w:r>
      <w:r w:rsidRPr="00877FB6">
        <w:rPr>
          <w:rFonts w:ascii="Times New Roman" w:hAnsi="Times New Roman"/>
          <w:b/>
          <w:i/>
          <w:szCs w:val="24"/>
        </w:rPr>
        <w:t xml:space="preserve">Regarding Rel-15 UE mandatory features, we suggest the </w:t>
      </w:r>
      <w:r>
        <w:rPr>
          <w:rFonts w:ascii="Times New Roman" w:hAnsi="Times New Roman"/>
          <w:b/>
          <w:i/>
          <w:szCs w:val="24"/>
        </w:rPr>
        <w:t>followings:</w:t>
      </w:r>
    </w:p>
    <w:p w14:paraId="0BAC0EAA" w14:textId="4652654E" w:rsidR="00877FB6" w:rsidRPr="00877FB6" w:rsidRDefault="00877FB6" w:rsidP="00877FB6">
      <w:pPr>
        <w:pStyle w:val="a4"/>
        <w:numPr>
          <w:ilvl w:val="0"/>
          <w:numId w:val="112"/>
        </w:numPr>
        <w:rPr>
          <w:rFonts w:ascii="Times New Roman" w:hAnsi="Times New Roman"/>
          <w:b/>
          <w:i/>
          <w:szCs w:val="24"/>
        </w:rPr>
      </w:pPr>
      <w:r w:rsidRPr="00877FB6">
        <w:rPr>
          <w:rFonts w:ascii="Times New Roman" w:hAnsi="Times New Roman" w:hint="eastAsia"/>
          <w:b/>
          <w:i/>
          <w:szCs w:val="24"/>
        </w:rPr>
        <w:t>FG</w:t>
      </w:r>
      <w:r w:rsidRPr="00877FB6">
        <w:rPr>
          <w:rFonts w:ascii="Times New Roman" w:hAnsi="Times New Roman"/>
          <w:b/>
          <w:i/>
          <w:szCs w:val="24"/>
        </w:rPr>
        <w:t xml:space="preserve"> 0-2 and </w:t>
      </w:r>
      <w:r w:rsidR="0005545F">
        <w:rPr>
          <w:rFonts w:ascii="Times New Roman" w:hAnsi="Times New Roman"/>
          <w:b/>
          <w:i/>
          <w:szCs w:val="24"/>
        </w:rPr>
        <w:t xml:space="preserve">FG </w:t>
      </w:r>
      <w:r w:rsidRPr="00877FB6">
        <w:rPr>
          <w:rFonts w:ascii="Times New Roman" w:hAnsi="Times New Roman"/>
          <w:b/>
          <w:i/>
          <w:szCs w:val="24"/>
        </w:rPr>
        <w:t>2-22 should be kept mandatory for IAB-MT</w:t>
      </w:r>
    </w:p>
    <w:p w14:paraId="62BB3838" w14:textId="2C6567F1" w:rsidR="00877FB6" w:rsidRPr="00877FB6" w:rsidRDefault="00877FB6" w:rsidP="00877FB6">
      <w:pPr>
        <w:pStyle w:val="a4"/>
        <w:numPr>
          <w:ilvl w:val="0"/>
          <w:numId w:val="112"/>
        </w:numPr>
        <w:rPr>
          <w:rFonts w:ascii="Times New Roman" w:hAnsi="Times New Roman"/>
          <w:b/>
          <w:i/>
          <w:szCs w:val="24"/>
        </w:rPr>
      </w:pPr>
      <w:r w:rsidRPr="00877FB6">
        <w:rPr>
          <w:rFonts w:ascii="Times New Roman" w:hAnsi="Times New Roman"/>
          <w:b/>
          <w:i/>
          <w:szCs w:val="24"/>
        </w:rPr>
        <w:t>Clarify the reason that FG 1-10 is suggested as optional for IAB-</w:t>
      </w:r>
      <w:r>
        <w:rPr>
          <w:rFonts w:ascii="Times New Roman" w:hAnsi="Times New Roman"/>
          <w:b/>
          <w:i/>
          <w:szCs w:val="24"/>
        </w:rPr>
        <w:t xml:space="preserve">node </w:t>
      </w:r>
      <w:r w:rsidRPr="00877FB6">
        <w:rPr>
          <w:rFonts w:ascii="Times New Roman" w:hAnsi="Times New Roman"/>
          <w:b/>
          <w:i/>
          <w:szCs w:val="24"/>
        </w:rPr>
        <w:t>MT</w:t>
      </w:r>
    </w:p>
    <w:p w14:paraId="4368B079" w14:textId="62052D16" w:rsidR="00877FB6" w:rsidRPr="00877FB6" w:rsidRDefault="00877FB6" w:rsidP="00877FB6">
      <w:pPr>
        <w:pStyle w:val="a4"/>
        <w:numPr>
          <w:ilvl w:val="0"/>
          <w:numId w:val="112"/>
        </w:numPr>
        <w:rPr>
          <w:rFonts w:ascii="Times New Roman" w:hAnsi="Times New Roman"/>
          <w:b/>
          <w:i/>
          <w:szCs w:val="24"/>
        </w:rPr>
      </w:pPr>
      <w:r w:rsidRPr="00877FB6">
        <w:rPr>
          <w:rFonts w:ascii="Times New Roman" w:hAnsi="Times New Roman"/>
          <w:b/>
          <w:i/>
          <w:szCs w:val="24"/>
        </w:rPr>
        <w:t xml:space="preserve">Avoid per-component optional/mandatory decision for a Rel-15 </w:t>
      </w:r>
      <w:r w:rsidR="0005545F">
        <w:rPr>
          <w:rFonts w:ascii="Times New Roman" w:hAnsi="Times New Roman"/>
          <w:b/>
          <w:i/>
          <w:szCs w:val="24"/>
        </w:rPr>
        <w:t xml:space="preserve">mandatory </w:t>
      </w:r>
      <w:r w:rsidRPr="00877FB6">
        <w:rPr>
          <w:rFonts w:ascii="Times New Roman" w:hAnsi="Times New Roman"/>
          <w:b/>
          <w:i/>
          <w:szCs w:val="24"/>
        </w:rPr>
        <w:t>FG</w:t>
      </w:r>
    </w:p>
    <w:p w14:paraId="388DABA7" w14:textId="04E8B718" w:rsidR="00DA3BFA" w:rsidRDefault="00DA3BFA" w:rsidP="00DA3BFA">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 xml:space="preserve">Reference </w:t>
      </w:r>
    </w:p>
    <w:p w14:paraId="6EC4BEA6" w14:textId="0067B1BD" w:rsidR="00DA3BFA" w:rsidRDefault="00DA3BFA" w:rsidP="00DA3BFA">
      <w:pPr>
        <w:rPr>
          <w:lang w:val="x-none"/>
        </w:rPr>
      </w:pPr>
      <w:r>
        <w:rPr>
          <w:rFonts w:hint="eastAsia"/>
          <w:lang w:val="x-none"/>
        </w:rPr>
        <w:t xml:space="preserve">[1] </w:t>
      </w:r>
      <w:r w:rsidRPr="00DA3BFA">
        <w:rPr>
          <w:lang w:val="x-none"/>
        </w:rPr>
        <w:t>R1-2001866</w:t>
      </w:r>
      <w:r>
        <w:rPr>
          <w:lang w:val="x-none"/>
        </w:rPr>
        <w:t>, Summary of UE features for IAB</w:t>
      </w:r>
    </w:p>
    <w:p w14:paraId="6175D48B" w14:textId="0E6095A1" w:rsidR="00DA3BFA" w:rsidRPr="00DA3BFA" w:rsidRDefault="00DA3BFA" w:rsidP="00DA3BFA">
      <w:pPr>
        <w:rPr>
          <w:lang w:val="x-none"/>
        </w:rPr>
      </w:pPr>
      <w:r>
        <w:rPr>
          <w:lang w:val="x-none"/>
        </w:rPr>
        <w:t xml:space="preserve">[2] </w:t>
      </w:r>
      <w:r w:rsidR="000948B0">
        <w:rPr>
          <w:lang w:val="x-none"/>
        </w:rPr>
        <w:t>Chairman’s Notes RAN#100b-e final</w:t>
      </w:r>
    </w:p>
    <w:sectPr w:rsidR="00DA3BFA" w:rsidRPr="00DA3BFA" w:rsidSect="00CA722E">
      <w:pgSz w:w="16839" w:h="11907"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2DCCF" w14:textId="77777777" w:rsidR="003F7B43" w:rsidRDefault="003F7B43" w:rsidP="00C01439">
      <w:pPr>
        <w:spacing w:after="0" w:line="240" w:lineRule="auto"/>
      </w:pPr>
      <w:r>
        <w:separator/>
      </w:r>
    </w:p>
  </w:endnote>
  <w:endnote w:type="continuationSeparator" w:id="0">
    <w:p w14:paraId="64972618" w14:textId="77777777" w:rsidR="003F7B43" w:rsidRDefault="003F7B43"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5245A" w:rsidRPr="00473EE7" w:rsidRDefault="00D5245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90415">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90415" w:rsidRPr="00F90415">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232E7" w14:textId="77777777" w:rsidR="003F7B43" w:rsidRDefault="003F7B43" w:rsidP="00C01439">
      <w:pPr>
        <w:spacing w:after="0" w:line="240" w:lineRule="auto"/>
      </w:pPr>
      <w:r>
        <w:separator/>
      </w:r>
    </w:p>
  </w:footnote>
  <w:footnote w:type="continuationSeparator" w:id="0">
    <w:p w14:paraId="66771086" w14:textId="77777777" w:rsidR="003F7B43" w:rsidRDefault="003F7B43"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0C6E0893"/>
    <w:multiLevelType w:val="hybridMultilevel"/>
    <w:tmpl w:val="577ED9D8"/>
    <w:lvl w:ilvl="0" w:tplc="F3B05C04">
      <w:start w:val="5"/>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1"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3E0093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CE5DF3"/>
    <w:multiLevelType w:val="hybridMultilevel"/>
    <w:tmpl w:val="0C325926"/>
    <w:lvl w:ilvl="0" w:tplc="95D81C32">
      <w:start w:val="1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A1E6245"/>
    <w:multiLevelType w:val="hybridMultilevel"/>
    <w:tmpl w:val="7D22F31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1"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4" w15:restartNumberingAfterBreak="0">
    <w:nsid w:val="51C53531"/>
    <w:multiLevelType w:val="hybridMultilevel"/>
    <w:tmpl w:val="A18E5AC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65"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7"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8"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4"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5"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9037610"/>
    <w:multiLevelType w:val="hybridMultilevel"/>
    <w:tmpl w:val="9A985F5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5"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7"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2"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7"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0"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96"/>
  </w:num>
  <w:num w:numId="2">
    <w:abstractNumId w:val="93"/>
  </w:num>
  <w:num w:numId="3">
    <w:abstractNumId w:val="94"/>
  </w:num>
  <w:num w:numId="4">
    <w:abstractNumId w:val="98"/>
  </w:num>
  <w:num w:numId="5">
    <w:abstractNumId w:val="6"/>
  </w:num>
  <w:num w:numId="6">
    <w:abstractNumId w:val="22"/>
  </w:num>
  <w:num w:numId="7">
    <w:abstractNumId w:val="66"/>
  </w:num>
  <w:num w:numId="8">
    <w:abstractNumId w:val="33"/>
  </w:num>
  <w:num w:numId="9">
    <w:abstractNumId w:val="65"/>
  </w:num>
  <w:num w:numId="10">
    <w:abstractNumId w:val="38"/>
  </w:num>
  <w:num w:numId="11">
    <w:abstractNumId w:val="55"/>
  </w:num>
  <w:num w:numId="12">
    <w:abstractNumId w:val="50"/>
  </w:num>
  <w:num w:numId="13">
    <w:abstractNumId w:val="87"/>
  </w:num>
  <w:num w:numId="14">
    <w:abstractNumId w:val="97"/>
  </w:num>
  <w:num w:numId="15">
    <w:abstractNumId w:val="31"/>
  </w:num>
  <w:num w:numId="16">
    <w:abstractNumId w:val="94"/>
  </w:num>
  <w:num w:numId="17">
    <w:abstractNumId w:val="94"/>
  </w:num>
  <w:num w:numId="18">
    <w:abstractNumId w:val="89"/>
  </w:num>
  <w:num w:numId="19">
    <w:abstractNumId w:val="43"/>
  </w:num>
  <w:num w:numId="20">
    <w:abstractNumId w:val="19"/>
  </w:num>
  <w:num w:numId="21">
    <w:abstractNumId w:val="18"/>
  </w:num>
  <w:num w:numId="22">
    <w:abstractNumId w:val="60"/>
  </w:num>
  <w:num w:numId="23">
    <w:abstractNumId w:val="44"/>
  </w:num>
  <w:num w:numId="24">
    <w:abstractNumId w:val="77"/>
  </w:num>
  <w:num w:numId="25">
    <w:abstractNumId w:val="76"/>
  </w:num>
  <w:num w:numId="26">
    <w:abstractNumId w:val="12"/>
  </w:num>
  <w:num w:numId="27">
    <w:abstractNumId w:val="99"/>
  </w:num>
  <w:num w:numId="28">
    <w:abstractNumId w:val="58"/>
  </w:num>
  <w:num w:numId="29">
    <w:abstractNumId w:val="71"/>
  </w:num>
  <w:num w:numId="30">
    <w:abstractNumId w:val="69"/>
  </w:num>
  <w:num w:numId="31">
    <w:abstractNumId w:val="79"/>
  </w:num>
  <w:num w:numId="32">
    <w:abstractNumId w:val="15"/>
  </w:num>
  <w:num w:numId="33">
    <w:abstractNumId w:val="34"/>
  </w:num>
  <w:num w:numId="34">
    <w:abstractNumId w:val="63"/>
  </w:num>
  <w:num w:numId="35">
    <w:abstractNumId w:val="35"/>
  </w:num>
  <w:num w:numId="36">
    <w:abstractNumId w:val="7"/>
  </w:num>
  <w:num w:numId="37">
    <w:abstractNumId w:val="23"/>
  </w:num>
  <w:num w:numId="38">
    <w:abstractNumId w:val="68"/>
  </w:num>
  <w:num w:numId="39">
    <w:abstractNumId w:val="26"/>
  </w:num>
  <w:num w:numId="40">
    <w:abstractNumId w:val="94"/>
  </w:num>
  <w:num w:numId="41">
    <w:abstractNumId w:val="94"/>
  </w:num>
  <w:num w:numId="42">
    <w:abstractNumId w:val="83"/>
  </w:num>
  <w:num w:numId="43">
    <w:abstractNumId w:val="8"/>
  </w:num>
  <w:num w:numId="44">
    <w:abstractNumId w:val="78"/>
  </w:num>
  <w:num w:numId="45">
    <w:abstractNumId w:val="57"/>
  </w:num>
  <w:num w:numId="46">
    <w:abstractNumId w:val="1"/>
  </w:num>
  <w:num w:numId="47">
    <w:abstractNumId w:val="40"/>
  </w:num>
  <w:num w:numId="48">
    <w:abstractNumId w:val="80"/>
  </w:num>
  <w:num w:numId="49">
    <w:abstractNumId w:val="53"/>
  </w:num>
  <w:num w:numId="50">
    <w:abstractNumId w:val="94"/>
  </w:num>
  <w:num w:numId="51">
    <w:abstractNumId w:val="102"/>
  </w:num>
  <w:num w:numId="52">
    <w:abstractNumId w:val="13"/>
  </w:num>
  <w:num w:numId="53">
    <w:abstractNumId w:val="24"/>
  </w:num>
  <w:num w:numId="54">
    <w:abstractNumId w:val="16"/>
  </w:num>
  <w:num w:numId="55">
    <w:abstractNumId w:val="56"/>
  </w:num>
  <w:num w:numId="56">
    <w:abstractNumId w:val="14"/>
  </w:num>
  <w:num w:numId="57">
    <w:abstractNumId w:val="96"/>
  </w:num>
  <w:num w:numId="58">
    <w:abstractNumId w:val="20"/>
  </w:num>
  <w:num w:numId="59">
    <w:abstractNumId w:val="9"/>
  </w:num>
  <w:num w:numId="60">
    <w:abstractNumId w:val="49"/>
  </w:num>
  <w:num w:numId="61">
    <w:abstractNumId w:val="70"/>
  </w:num>
  <w:num w:numId="62">
    <w:abstractNumId w:val="75"/>
  </w:num>
  <w:num w:numId="63">
    <w:abstractNumId w:val="29"/>
  </w:num>
  <w:num w:numId="64">
    <w:abstractNumId w:val="59"/>
  </w:num>
  <w:num w:numId="65">
    <w:abstractNumId w:val="17"/>
  </w:num>
  <w:num w:numId="66">
    <w:abstractNumId w:val="37"/>
  </w:num>
  <w:num w:numId="67">
    <w:abstractNumId w:val="41"/>
  </w:num>
  <w:num w:numId="68">
    <w:abstractNumId w:val="36"/>
  </w:num>
  <w:num w:numId="69">
    <w:abstractNumId w:val="92"/>
  </w:num>
  <w:num w:numId="70">
    <w:abstractNumId w:val="11"/>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61"/>
  </w:num>
  <w:num w:numId="73">
    <w:abstractNumId w:val="2"/>
  </w:num>
  <w:num w:numId="7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6"/>
  </w:num>
  <w:num w:numId="100">
    <w:abstractNumId w:val="48"/>
  </w:num>
  <w:num w:numId="101">
    <w:abstractNumId w:val="4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
  </w:num>
  <w:num w:numId="103">
    <w:abstractNumId w:val="46"/>
  </w:num>
  <w:num w:numId="104">
    <w:abstractNumId w:val="47"/>
  </w:num>
  <w:num w:numId="105">
    <w:abstractNumId w:val="30"/>
  </w:num>
  <w:num w:numId="106">
    <w:abstractNumId w:val="51"/>
  </w:num>
  <w:num w:numId="107">
    <w:abstractNumId w:val="45"/>
  </w:num>
  <w:num w:numId="108">
    <w:abstractNumId w:val="27"/>
  </w:num>
  <w:num w:numId="109">
    <w:abstractNumId w:val="88"/>
  </w:num>
  <w:num w:numId="110">
    <w:abstractNumId w:val="64"/>
  </w:num>
  <w:num w:numId="111">
    <w:abstractNumId w:val="28"/>
  </w:num>
  <w:num w:numId="112">
    <w:abstractNumId w:val="10"/>
  </w:num>
  <w:num w:numId="113">
    <w:abstractNumId w:val="84"/>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587"/>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545F"/>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D56"/>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0DE"/>
    <w:rsid w:val="000943C9"/>
    <w:rsid w:val="000948B0"/>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97F"/>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03F"/>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33E"/>
    <w:rsid w:val="00123B6E"/>
    <w:rsid w:val="00124C29"/>
    <w:rsid w:val="00124E15"/>
    <w:rsid w:val="00125C01"/>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2A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8B5"/>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07EA4"/>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1EBA"/>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2F5E"/>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3D9"/>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64E"/>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3DB1"/>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B43"/>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7"/>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6DB"/>
    <w:rsid w:val="004668AE"/>
    <w:rsid w:val="00467052"/>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A7CCF"/>
    <w:rsid w:val="004B0048"/>
    <w:rsid w:val="004B1170"/>
    <w:rsid w:val="004B1F29"/>
    <w:rsid w:val="004B3719"/>
    <w:rsid w:val="004B3932"/>
    <w:rsid w:val="004B443D"/>
    <w:rsid w:val="004B4EEA"/>
    <w:rsid w:val="004B511E"/>
    <w:rsid w:val="004B5215"/>
    <w:rsid w:val="004B5339"/>
    <w:rsid w:val="004B58DE"/>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4B0"/>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3B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31B"/>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0B90"/>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DE1"/>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21B"/>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8D5"/>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8D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886"/>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6C69"/>
    <w:rsid w:val="007279FE"/>
    <w:rsid w:val="00727B13"/>
    <w:rsid w:val="007305E2"/>
    <w:rsid w:val="00730D7D"/>
    <w:rsid w:val="00730EB1"/>
    <w:rsid w:val="007311E3"/>
    <w:rsid w:val="00731343"/>
    <w:rsid w:val="00731895"/>
    <w:rsid w:val="00731E5E"/>
    <w:rsid w:val="00732091"/>
    <w:rsid w:val="00732E9C"/>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1F2A"/>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15"/>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1AD"/>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050"/>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FB6"/>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074"/>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234"/>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5C"/>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328A"/>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537"/>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E7F9D"/>
    <w:rsid w:val="009F0621"/>
    <w:rsid w:val="009F0ECD"/>
    <w:rsid w:val="009F197B"/>
    <w:rsid w:val="009F1D3C"/>
    <w:rsid w:val="009F1EEE"/>
    <w:rsid w:val="009F204F"/>
    <w:rsid w:val="009F337E"/>
    <w:rsid w:val="009F35AC"/>
    <w:rsid w:val="009F49DC"/>
    <w:rsid w:val="009F53F9"/>
    <w:rsid w:val="009F5858"/>
    <w:rsid w:val="009F5BC0"/>
    <w:rsid w:val="009F6C9B"/>
    <w:rsid w:val="009F6F0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376"/>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8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4FA0"/>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327"/>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75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3A5"/>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4D71"/>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3845"/>
    <w:rsid w:val="00BD420A"/>
    <w:rsid w:val="00BD4AF1"/>
    <w:rsid w:val="00BD5209"/>
    <w:rsid w:val="00BD59CE"/>
    <w:rsid w:val="00BD6508"/>
    <w:rsid w:val="00BD6D29"/>
    <w:rsid w:val="00BD7947"/>
    <w:rsid w:val="00BD7B25"/>
    <w:rsid w:val="00BD7C12"/>
    <w:rsid w:val="00BE0536"/>
    <w:rsid w:val="00BE0581"/>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7F6"/>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363"/>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0460"/>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DF3"/>
    <w:rsid w:val="00C641B3"/>
    <w:rsid w:val="00C643CD"/>
    <w:rsid w:val="00C64CB0"/>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22E"/>
    <w:rsid w:val="00CA75FA"/>
    <w:rsid w:val="00CA7ABB"/>
    <w:rsid w:val="00CA7DCD"/>
    <w:rsid w:val="00CB0099"/>
    <w:rsid w:val="00CB175A"/>
    <w:rsid w:val="00CB190E"/>
    <w:rsid w:val="00CB29ED"/>
    <w:rsid w:val="00CB3335"/>
    <w:rsid w:val="00CB34A7"/>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16F"/>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6BE"/>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BFA"/>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147"/>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377"/>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4BA7"/>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1B48"/>
    <w:rsid w:val="00F3228B"/>
    <w:rsid w:val="00F32BD3"/>
    <w:rsid w:val="00F330D5"/>
    <w:rsid w:val="00F3352E"/>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DBE"/>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223"/>
    <w:rsid w:val="00F71FD5"/>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415"/>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6E06"/>
    <w:rsid w:val="00FE722B"/>
    <w:rsid w:val="00FE733C"/>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908"/>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 w:type="character" w:customStyle="1" w:styleId="TALChar">
    <w:name w:val="TAL Char"/>
    <w:qFormat/>
    <w:locked/>
    <w:rsid w:val="00590B90"/>
    <w:rPr>
      <w:rFonts w:ascii="Arial" w:eastAsia="SimSun" w:hAnsi="Arial"/>
      <w:sz w:val="18"/>
      <w:lang w:eastAsia="en-US"/>
    </w:rPr>
  </w:style>
  <w:style w:type="table" w:customStyle="1" w:styleId="10">
    <w:name w:val="표 구분선1"/>
    <w:basedOn w:val="a1"/>
    <w:next w:val="ad"/>
    <w:uiPriority w:val="39"/>
    <w:qFormat/>
    <w:rsid w:val="00877F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33729-5D97-4026-AC32-7C9E99325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1081</Words>
  <Characters>6162</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심재남/선임연구원/미래기술센터 C&amp;M표준(연)5G무선통신표준Task(jaenam.shim@lge.com)</cp:lastModifiedBy>
  <cp:revision>4</cp:revision>
  <cp:lastPrinted>2019-08-16T06:32:00Z</cp:lastPrinted>
  <dcterms:created xsi:type="dcterms:W3CDTF">2020-05-15T01:17:00Z</dcterms:created>
  <dcterms:modified xsi:type="dcterms:W3CDTF">2020-05-15T01:21:00Z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